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spacing w:line="560" w:lineRule="exact"/>
        <w:jc w:val="center"/>
        <w:textAlignment w:val="auto"/>
        <w:outlineLvl w:val="9"/>
        <w:rPr>
          <w:rFonts w:ascii="黑体" w:eastAsia="黑体" w:cs="Times New Roman"/>
          <w:sz w:val="44"/>
          <w:szCs w:val="36"/>
        </w:rPr>
      </w:pPr>
      <w:r>
        <w:rPr>
          <w:rFonts w:hint="eastAsia" w:ascii="黑体" w:hAnsi="黑体" w:eastAsia="黑体"/>
          <w:sz w:val="44"/>
          <w:szCs w:val="36"/>
          <w:lang w:eastAsia="zh-CN"/>
        </w:rPr>
        <w:t>社富乡</w:t>
      </w:r>
      <w:r>
        <w:rPr>
          <w:rFonts w:hint="eastAsia" w:ascii="黑体" w:hAnsi="黑体" w:eastAsia="黑体"/>
          <w:sz w:val="44"/>
          <w:szCs w:val="36"/>
        </w:rPr>
        <w:t>人民政府</w:t>
      </w:r>
      <w:r>
        <w:rPr>
          <w:rFonts w:hint="eastAsia" w:ascii="黑体" w:eastAsia="黑体" w:cs="Times New Roman"/>
          <w:sz w:val="44"/>
          <w:szCs w:val="36"/>
          <w:lang w:eastAsia="zh-CN"/>
        </w:rPr>
        <w:t>2021年度</w:t>
      </w:r>
      <w:r>
        <w:rPr>
          <w:rFonts w:hint="eastAsia" w:ascii="黑体" w:eastAsia="黑体" w:cs="Times New Roman"/>
          <w:sz w:val="44"/>
          <w:szCs w:val="36"/>
        </w:rPr>
        <w:t>部门决算</w:t>
      </w:r>
    </w:p>
    <w:p>
      <w:pPr>
        <w:keepNext w:val="0"/>
        <w:keepLines w:val="0"/>
        <w:pageBreakBefore w:val="0"/>
        <w:widowControl/>
        <w:kinsoku/>
        <w:wordWrap/>
        <w:overflowPunct/>
        <w:topLinePunct w:val="0"/>
        <w:autoSpaceDE/>
        <w:autoSpaceDN/>
        <w:bidi w:val="0"/>
        <w:spacing w:line="560" w:lineRule="exact"/>
        <w:ind w:left="0" w:leftChars="0" w:firstLine="880" w:firstLineChars="200"/>
        <w:jc w:val="left"/>
        <w:textAlignment w:val="auto"/>
        <w:outlineLvl w:val="9"/>
        <w:rPr>
          <w:rFonts w:ascii="黑体" w:eastAsia="黑体" w:cs="Times New Roman"/>
          <w:sz w:val="44"/>
          <w:szCs w:val="36"/>
        </w:rPr>
      </w:pPr>
    </w:p>
    <w:p>
      <w:pPr>
        <w:keepNext w:val="0"/>
        <w:keepLines w:val="0"/>
        <w:pageBreakBefore w:val="0"/>
        <w:widowControl/>
        <w:kinsoku/>
        <w:wordWrap/>
        <w:overflowPunct/>
        <w:topLinePunct w:val="0"/>
        <w:autoSpaceDE/>
        <w:autoSpaceDN/>
        <w:bidi w:val="0"/>
        <w:spacing w:line="560" w:lineRule="exact"/>
        <w:jc w:val="center"/>
        <w:textAlignment w:val="auto"/>
        <w:outlineLvl w:val="9"/>
        <w:rPr>
          <w:rFonts w:ascii="黑体" w:eastAsia="黑体"/>
          <w:sz w:val="40"/>
          <w:szCs w:val="36"/>
        </w:rPr>
      </w:pPr>
      <w:r>
        <w:rPr>
          <w:rFonts w:hint="eastAsia" w:ascii="黑体" w:eastAsia="黑体" w:cs="Times New Roman"/>
          <w:sz w:val="40"/>
          <w:szCs w:val="36"/>
        </w:rPr>
        <w:t>目录</w:t>
      </w:r>
    </w:p>
    <w:p>
      <w:pPr>
        <w:keepNext w:val="0"/>
        <w:keepLines w:val="0"/>
        <w:pageBreakBefore w:val="0"/>
        <w:widowControl/>
        <w:kinsoku/>
        <w:wordWrap/>
        <w:overflowPunct/>
        <w:topLinePunct w:val="0"/>
        <w:autoSpaceDE/>
        <w:autoSpaceDN/>
        <w:bidi w:val="0"/>
        <w:spacing w:line="560" w:lineRule="exact"/>
        <w:ind w:left="0" w:leftChars="0" w:firstLine="643" w:firstLineChars="200"/>
        <w:jc w:val="left"/>
        <w:textAlignment w:val="auto"/>
        <w:outlineLvl w:val="9"/>
        <w:rPr>
          <w:rFonts w:hint="eastAsia" w:ascii="黑体" w:hAnsi="黑体" w:eastAsia="黑体"/>
          <w:sz w:val="32"/>
          <w:szCs w:val="32"/>
        </w:rPr>
      </w:pPr>
      <w:r>
        <w:rPr>
          <w:rFonts w:hint="eastAsia" w:ascii="黑体" w:hAnsi="黑体" w:eastAsia="黑体" w:cs="Times New Roman"/>
          <w:b/>
          <w:sz w:val="32"/>
          <w:szCs w:val="32"/>
        </w:rPr>
        <w:t>第一部分</w:t>
      </w:r>
      <w:r>
        <w:rPr>
          <w:rFonts w:hint="eastAsia" w:ascii="黑体" w:hAnsi="黑体" w:eastAsia="黑体"/>
          <w:sz w:val="32"/>
          <w:szCs w:val="32"/>
          <w:lang w:eastAsia="zh-CN"/>
        </w:rPr>
        <w:t>社富乡</w:t>
      </w:r>
      <w:r>
        <w:rPr>
          <w:rFonts w:hint="eastAsia" w:ascii="黑体" w:hAnsi="黑体" w:eastAsia="黑体"/>
          <w:sz w:val="32"/>
          <w:szCs w:val="32"/>
        </w:rPr>
        <w:t>人民政府部门概况</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仿宋" w:hAnsi="仿宋" w:eastAsia="仿宋" w:cs="Times New Roman"/>
          <w:sz w:val="32"/>
          <w:szCs w:val="30"/>
        </w:rPr>
        <w:t>一、部门主要职责</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二、部门基本情况</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黑体" w:hAnsi="黑体" w:eastAsia="黑体" w:cs="Times New Roman"/>
          <w:sz w:val="32"/>
          <w:szCs w:val="32"/>
        </w:rPr>
      </w:pPr>
      <w:r>
        <w:rPr>
          <w:rFonts w:hint="eastAsia" w:ascii="黑体" w:hAnsi="黑体" w:eastAsia="黑体" w:cs="Times New Roman"/>
          <w:sz w:val="32"/>
          <w:szCs w:val="32"/>
        </w:rPr>
        <w:t>第二部分</w:t>
      </w:r>
      <w:r>
        <w:rPr>
          <w:rFonts w:hint="eastAsia" w:ascii="黑体" w:hAnsi="黑体" w:eastAsia="黑体" w:cs="Times New Roman"/>
          <w:sz w:val="32"/>
          <w:szCs w:val="32"/>
          <w:lang w:eastAsia="zh-CN"/>
        </w:rPr>
        <w:t>2021年度</w:t>
      </w:r>
      <w:r>
        <w:rPr>
          <w:rFonts w:hint="eastAsia" w:ascii="黑体" w:hAnsi="黑体" w:eastAsia="黑体" w:cs="Times New Roman"/>
          <w:sz w:val="32"/>
          <w:szCs w:val="32"/>
        </w:rPr>
        <w:t>部门决算表</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仿宋" w:hAnsi="仿宋" w:eastAsia="仿宋" w:cs="Times New Roman"/>
          <w:sz w:val="32"/>
          <w:szCs w:val="30"/>
        </w:rPr>
        <w:t>一、收入支出决算总表</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仿宋" w:hAnsi="仿宋" w:eastAsia="仿宋" w:cs="Times New Roman"/>
          <w:sz w:val="32"/>
          <w:szCs w:val="30"/>
        </w:rPr>
        <w:t>二、收入决算表</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三、支出决算表</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四、财政拨款收入支出决算总表</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五、一般公共预算财政拨款支出决算表</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六、一般公共预算财政拨款基本支出决算表</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七、一般公共预算财政拨款“三公”经费支出决算表</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八、政府性基金预算财政拨款收入支出决算表</w:t>
      </w:r>
    </w:p>
    <w:p>
      <w:pPr>
        <w:keepNext w:val="0"/>
        <w:keepLines w:val="0"/>
        <w:pageBreakBefore w:val="0"/>
        <w:widowControl/>
        <w:numPr>
          <w:ilvl w:val="0"/>
          <w:numId w:val="0"/>
        </w:numPr>
        <w:kinsoku/>
        <w:wordWrap/>
        <w:overflowPunct/>
        <w:topLinePunct w:val="0"/>
        <w:autoSpaceDE/>
        <w:autoSpaceDN/>
        <w:bidi w:val="0"/>
        <w:spacing w:line="560" w:lineRule="exact"/>
        <w:ind w:left="0" w:leftChars="0" w:firstLine="640" w:firstLineChars="200"/>
        <w:jc w:val="left"/>
        <w:textAlignment w:val="auto"/>
        <w:outlineLvl w:val="9"/>
        <w:rPr>
          <w:rFonts w:hint="eastAsia" w:ascii="仿宋" w:hAnsi="仿宋" w:eastAsia="仿宋" w:cs="宋体"/>
          <w:kern w:val="0"/>
          <w:sz w:val="32"/>
          <w:szCs w:val="32"/>
        </w:rPr>
      </w:pPr>
      <w:r>
        <w:rPr>
          <w:rFonts w:hint="eastAsia" w:ascii="仿宋" w:hAnsi="仿宋" w:eastAsia="仿宋" w:cs="宋体"/>
          <w:sz w:val="32"/>
          <w:szCs w:val="32"/>
          <w:lang w:eastAsia="zh-CN"/>
        </w:rPr>
        <w:t>九、</w:t>
      </w:r>
      <w:r>
        <w:rPr>
          <w:rFonts w:hint="eastAsia" w:ascii="仿宋" w:hAnsi="仿宋" w:eastAsia="仿宋" w:cs="宋体"/>
          <w:kern w:val="0"/>
          <w:sz w:val="32"/>
          <w:szCs w:val="32"/>
          <w:lang w:val="en-US" w:eastAsia="zh-CN"/>
        </w:rPr>
        <w:t>国有资本经营预算财政拨款支出决算表</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lang w:eastAsia="zh-CN"/>
        </w:rPr>
        <w:t>十</w:t>
      </w:r>
      <w:r>
        <w:rPr>
          <w:rFonts w:hint="eastAsia" w:ascii="仿宋" w:hAnsi="仿宋" w:eastAsia="仿宋" w:cs="宋体"/>
          <w:sz w:val="32"/>
          <w:szCs w:val="32"/>
        </w:rPr>
        <w:t>、国有资产占用情况表</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黑体" w:hAnsi="黑体" w:eastAsia="黑体" w:cs="Times New Roman"/>
          <w:sz w:val="32"/>
          <w:szCs w:val="32"/>
        </w:rPr>
      </w:pPr>
      <w:r>
        <w:rPr>
          <w:rFonts w:hint="eastAsia" w:ascii="黑体" w:hAnsi="黑体" w:eastAsia="黑体" w:cs="Times New Roman"/>
          <w:sz w:val="32"/>
          <w:szCs w:val="32"/>
        </w:rPr>
        <w:t>第三部分</w:t>
      </w:r>
      <w:r>
        <w:rPr>
          <w:rFonts w:hint="eastAsia" w:ascii="黑体" w:hAnsi="黑体" w:eastAsia="黑体" w:cs="Times New Roman"/>
          <w:sz w:val="32"/>
          <w:szCs w:val="32"/>
          <w:lang w:eastAsia="zh-CN"/>
        </w:rPr>
        <w:t>2021年度</w:t>
      </w:r>
      <w:r>
        <w:rPr>
          <w:rFonts w:hint="eastAsia" w:ascii="黑体" w:hAnsi="黑体" w:eastAsia="黑体" w:cs="Times New Roman"/>
          <w:sz w:val="32"/>
          <w:szCs w:val="32"/>
        </w:rPr>
        <w:t>部门决算情况说明</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仿宋" w:hAnsi="仿宋" w:eastAsia="仿宋" w:cs="Times New Roman"/>
          <w:sz w:val="32"/>
          <w:szCs w:val="30"/>
        </w:rPr>
        <w:t>一、收入决算情况说明</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仿宋" w:hAnsi="仿宋" w:eastAsia="仿宋" w:cs="Times New Roman"/>
          <w:sz w:val="32"/>
          <w:szCs w:val="30"/>
        </w:rPr>
        <w:t>二、支出决算情况说明</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仿宋" w:hAnsi="仿宋" w:eastAsia="仿宋" w:cs="Times New Roman"/>
          <w:sz w:val="32"/>
          <w:szCs w:val="30"/>
        </w:rPr>
        <w:t>三、财政拨款支出决算情况说明</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仿宋" w:hAnsi="仿宋" w:eastAsia="仿宋" w:cs="Times New Roman"/>
          <w:sz w:val="32"/>
          <w:szCs w:val="30"/>
        </w:rPr>
        <w:t>四、一般公共预算财政拨款基本支出决算情况说明</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仿宋" w:hAnsi="仿宋" w:eastAsia="仿宋" w:cs="Times New Roman"/>
          <w:sz w:val="32"/>
          <w:szCs w:val="30"/>
        </w:rPr>
        <w:t>五、一般公共预算财政拨款“三公”经费支出决算情况说明</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仿宋" w:hAnsi="仿宋" w:eastAsia="仿宋" w:cs="Times New Roman"/>
          <w:sz w:val="32"/>
          <w:szCs w:val="30"/>
        </w:rPr>
        <w:t>六、机关运行经费支出情况说明</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仿宋" w:hAnsi="仿宋" w:eastAsia="仿宋" w:cs="Times New Roman"/>
          <w:sz w:val="32"/>
          <w:szCs w:val="30"/>
        </w:rPr>
        <w:t>七、政府采购支出情况说明</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仿宋" w:hAnsi="仿宋" w:eastAsia="仿宋" w:cs="Times New Roman"/>
          <w:sz w:val="32"/>
          <w:szCs w:val="30"/>
        </w:rPr>
        <w:t>八、国有资产占用情况说明</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仿宋" w:hAnsi="仿宋" w:eastAsia="仿宋" w:cs="Times New Roman"/>
          <w:sz w:val="32"/>
          <w:szCs w:val="30"/>
        </w:rPr>
        <w:t>九、预算绩效情况说明</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Times New Roman"/>
          <w:sz w:val="32"/>
          <w:szCs w:val="30"/>
        </w:rPr>
      </w:pPr>
      <w:r>
        <w:rPr>
          <w:rFonts w:hint="eastAsia" w:ascii="黑体" w:hAnsi="黑体" w:eastAsia="黑体" w:cs="Times New Roman"/>
          <w:sz w:val="32"/>
          <w:szCs w:val="32"/>
        </w:rPr>
        <w:t>第四部分名词解释</w:t>
      </w:r>
    </w:p>
    <w:p>
      <w:pPr>
        <w:keepNext w:val="0"/>
        <w:keepLines w:val="0"/>
        <w:pageBreakBefore w:val="0"/>
        <w:widowControl/>
        <w:kinsoku/>
        <w:wordWrap/>
        <w:overflowPunct/>
        <w:topLinePunct w:val="0"/>
        <w:autoSpaceDE/>
        <w:autoSpaceDN/>
        <w:bidi w:val="0"/>
        <w:spacing w:line="560" w:lineRule="exact"/>
        <w:ind w:left="0" w:leftChars="0" w:firstLine="720" w:firstLineChars="200"/>
        <w:jc w:val="left"/>
        <w:textAlignment w:val="auto"/>
        <w:outlineLvl w:val="9"/>
        <w:rPr>
          <w:rFonts w:ascii="宋体" w:hAnsi="宋体" w:cs="Times New Roman"/>
          <w:b/>
          <w:sz w:val="36"/>
          <w:szCs w:val="36"/>
        </w:rPr>
      </w:pPr>
    </w:p>
    <w:p>
      <w:pPr>
        <w:keepNext w:val="0"/>
        <w:keepLines w:val="0"/>
        <w:pageBreakBefore w:val="0"/>
        <w:widowControl/>
        <w:kinsoku/>
        <w:wordWrap/>
        <w:overflowPunct/>
        <w:topLinePunct w:val="0"/>
        <w:autoSpaceDE/>
        <w:autoSpaceDN/>
        <w:bidi w:val="0"/>
        <w:spacing w:line="560" w:lineRule="exact"/>
        <w:ind w:left="0" w:leftChars="0" w:firstLine="720" w:firstLineChars="200"/>
        <w:jc w:val="left"/>
        <w:textAlignment w:val="auto"/>
        <w:outlineLvl w:val="9"/>
        <w:rPr>
          <w:rFonts w:ascii="宋体" w:hAnsi="宋体" w:cs="Times New Roman"/>
          <w:b/>
          <w:sz w:val="36"/>
          <w:szCs w:val="36"/>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cs="Times New Roman"/>
          <w:b/>
          <w:sz w:val="32"/>
          <w:szCs w:val="30"/>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cs="Times New Roman"/>
          <w:b/>
          <w:sz w:val="32"/>
          <w:szCs w:val="30"/>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cs="Times New Roman"/>
          <w:b/>
          <w:sz w:val="32"/>
          <w:szCs w:val="30"/>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cs="Times New Roman"/>
          <w:b/>
          <w:sz w:val="32"/>
          <w:szCs w:val="30"/>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cs="Times New Roman"/>
          <w:b/>
          <w:sz w:val="32"/>
          <w:szCs w:val="30"/>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cs="Times New Roman"/>
          <w:b/>
          <w:sz w:val="32"/>
          <w:szCs w:val="30"/>
        </w:rPr>
      </w:pPr>
    </w:p>
    <w:p>
      <w:pPr>
        <w:keepNext w:val="0"/>
        <w:keepLines w:val="0"/>
        <w:pageBreakBefore w:val="0"/>
        <w:widowControl/>
        <w:kinsoku/>
        <w:wordWrap/>
        <w:overflowPunct/>
        <w:topLinePunct w:val="0"/>
        <w:autoSpaceDE/>
        <w:autoSpaceDN/>
        <w:bidi w:val="0"/>
        <w:spacing w:line="560" w:lineRule="exact"/>
        <w:jc w:val="center"/>
        <w:textAlignment w:val="auto"/>
        <w:outlineLvl w:val="9"/>
        <w:rPr>
          <w:rFonts w:ascii="宋体" w:hAnsi="宋体" w:cs="Times New Roman"/>
          <w:b/>
          <w:sz w:val="32"/>
          <w:szCs w:val="30"/>
        </w:rPr>
      </w:pPr>
      <w:r>
        <w:rPr>
          <w:rFonts w:hint="eastAsia" w:ascii="宋体" w:hAnsi="宋体" w:cs="Times New Roman"/>
          <w:b/>
          <w:sz w:val="32"/>
          <w:szCs w:val="30"/>
        </w:rPr>
        <w:t>第一部分</w:t>
      </w:r>
      <w:r>
        <w:rPr>
          <w:rFonts w:hint="eastAsia" w:ascii="宋体" w:hAnsi="宋体"/>
          <w:b/>
          <w:sz w:val="32"/>
          <w:szCs w:val="32"/>
          <w:lang w:eastAsia="zh-CN"/>
        </w:rPr>
        <w:t>社富乡</w:t>
      </w:r>
      <w:r>
        <w:rPr>
          <w:rFonts w:hint="eastAsia" w:ascii="宋体" w:hAnsi="宋体"/>
          <w:b/>
          <w:sz w:val="32"/>
          <w:szCs w:val="32"/>
        </w:rPr>
        <w:t>人民政府</w:t>
      </w:r>
      <w:r>
        <w:rPr>
          <w:rFonts w:hint="eastAsia" w:ascii="宋体" w:hAnsi="宋体" w:cs="Times New Roman"/>
          <w:b/>
          <w:sz w:val="32"/>
          <w:szCs w:val="32"/>
        </w:rPr>
        <w:t>部门</w:t>
      </w:r>
      <w:r>
        <w:rPr>
          <w:rFonts w:hint="eastAsia" w:ascii="宋体" w:hAnsi="宋体" w:cs="Times New Roman"/>
          <w:b/>
          <w:sz w:val="32"/>
          <w:szCs w:val="30"/>
        </w:rPr>
        <w:t>概况</w:t>
      </w:r>
    </w:p>
    <w:p>
      <w:pPr>
        <w:keepNext w:val="0"/>
        <w:keepLines w:val="0"/>
        <w:pageBreakBefore w:val="0"/>
        <w:widowControl/>
        <w:kinsoku/>
        <w:wordWrap/>
        <w:overflowPunct/>
        <w:topLinePunct w:val="0"/>
        <w:autoSpaceDE/>
        <w:autoSpaceDN/>
        <w:bidi w:val="0"/>
        <w:spacing w:line="560" w:lineRule="exact"/>
        <w:jc w:val="left"/>
        <w:textAlignment w:val="auto"/>
        <w:outlineLvl w:val="9"/>
        <w:rPr>
          <w:rFonts w:hint="eastAsia" w:ascii="黑体" w:hAnsi="黑体" w:eastAsia="黑体" w:cs="Times New Roman"/>
          <w:sz w:val="30"/>
          <w:szCs w:val="30"/>
        </w:rPr>
      </w:pPr>
    </w:p>
    <w:p>
      <w:pPr>
        <w:keepNext w:val="0"/>
        <w:keepLines w:val="0"/>
        <w:pageBreakBefore w:val="0"/>
        <w:widowControl/>
        <w:kinsoku/>
        <w:wordWrap/>
        <w:overflowPunct/>
        <w:topLinePunct w:val="0"/>
        <w:autoSpaceDE/>
        <w:autoSpaceDN/>
        <w:bidi w:val="0"/>
        <w:spacing w:line="560" w:lineRule="exact"/>
        <w:ind w:firstLine="900" w:firstLineChars="300"/>
        <w:jc w:val="left"/>
        <w:textAlignment w:val="auto"/>
        <w:outlineLvl w:val="9"/>
        <w:rPr>
          <w:rFonts w:ascii="黑体" w:hAnsi="黑体" w:eastAsia="黑体" w:cs="Times New Roman"/>
          <w:sz w:val="30"/>
          <w:szCs w:val="30"/>
        </w:rPr>
      </w:pPr>
      <w:r>
        <w:rPr>
          <w:rFonts w:hint="eastAsia" w:ascii="黑体" w:hAnsi="黑体" w:eastAsia="黑体" w:cs="Times New Roman"/>
          <w:sz w:val="30"/>
          <w:szCs w:val="30"/>
        </w:rPr>
        <w:t>一、部门主要职能</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一）加强党的建设。落实基层党建工作责任制，严格抓好基层党组织建设各项制度，统筹抓好基层党建工作；推进全面从严治党，强化“两个责任”，落实农村基层党建工作要求，全面加强农村基层宣传思想文化工作，健全完善党建引领基层体系，强化基层治理平台建设，进一步增强党在农村的政治领导力、思想引领力、群众组织力、社会号召力。</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二）实施乡村振兴战略。贯彻落实中央、省、市、县关于实施乡村振兴战略的决策部署，提升农业发展质量，加快现代农业强镇步伐；推进乡村绿色发展，打造生态宜居美丽乡村；加强农村基础设施建设,改善农村居住环境;深化农村精神文明建设，树立健康文明新风尚；构建乡村治理体系，提升农村社会治理水平；坚决打赢脱贫攻坚战，增强贫困群众获得感；深入推进农业农村改革，增强乡村振兴内生动力。</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（三）加强公共管理。实施综合管理，落实辖区内集镇管理、人口管理、社会管理、经济发展、综合执法、公共服务、生态环境保护等工作，承担组织领导、推进实施、综合协调等职责。</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四）加强公共安全。负责辖区公共安全及安全生产监管，构建公共安全防控体系，建立应对突发紧急事件的处理预案，做好安全生产、防汛、防火、减灾救灾、防疫、气象灾害防御、食品药品安全等应急管理工作。承担辖区平安建设和社会治安综合治理工作，全面加强“全要素网格”建设，落实社会矛盾纠纷排查调处机制，综合发挥人民调解、行政调解和司法调解的作用，及时化解辖区社会矛盾，确保社会稳定。</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五）加强政务服务。组织实施与群众生活密切相关的各项行政审批和公共服务，落实人力资源、社会保障、医疗保障、移民、扶贫、民政、教育、体育、文化、旅游、卫生健康、自然资源、统计、水利等方面相关政策。加强镇综合便民服务平台标准化建设，推进集中审批服务，提升群众获得感和幸福感。</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六）领导基层自治。领导村（居）民委员会、业委会建设，健全自治平台，推进村（居）民委员会自治；组织村（居）民和单位参与村（社区）建设和管理，健全完善自治、法治、德治相结合的基层治理体系；推进村（居）务公开、财务公开。</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（七）动员社会参与。动员辖区内各类单位、社会组织和村（居）民等社会力量参与村（社区）治理，引导辖区内单位履行社会责任，整合区域内各种社会力量为辖区发展服务。</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（八）加强财税管理。负责镇本级财务以及集体资产管理工作，协助做好税收征管工作，指导监督村级财务和资产管理工作。</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仿宋" w:hAnsi="仿宋" w:eastAsia="仿宋" w:cs="宋体"/>
          <w:sz w:val="32"/>
          <w:szCs w:val="32"/>
        </w:rPr>
      </w:pPr>
      <w:r>
        <w:rPr>
          <w:rFonts w:hint="eastAsia" w:ascii="仿宋" w:hAnsi="仿宋" w:eastAsia="仿宋" w:cs="宋体"/>
          <w:sz w:val="32"/>
          <w:szCs w:val="32"/>
        </w:rPr>
        <w:t>（九）做好国防教育和兵役、退役军人事务等工作。</w:t>
      </w: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hint="eastAsia" w:ascii="仿宋" w:hAnsi="仿宋" w:eastAsia="仿宋" w:cs="宋体"/>
          <w:sz w:val="32"/>
          <w:szCs w:val="32"/>
        </w:rPr>
      </w:pPr>
      <w:r>
        <w:rPr>
          <w:rFonts w:hint="eastAsia" w:ascii="仿宋" w:hAnsi="仿宋" w:eastAsia="仿宋" w:cs="宋体"/>
          <w:sz w:val="32"/>
          <w:szCs w:val="32"/>
        </w:rPr>
        <w:t>（十）承担县委、县政府交办的其他事项。</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黑体" w:hAnsi="黑体" w:eastAsia="黑体" w:cs="Times New Roman"/>
          <w:sz w:val="30"/>
          <w:szCs w:val="30"/>
        </w:rPr>
      </w:pPr>
      <w:r>
        <w:rPr>
          <w:rFonts w:hint="eastAsia" w:ascii="黑体" w:hAnsi="黑体" w:eastAsia="黑体" w:cs="Times New Roman"/>
          <w:sz w:val="30"/>
          <w:szCs w:val="30"/>
        </w:rPr>
        <w:t>二、部门基本情况</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纳入本套部门决算汇编范围的单位共1个，包括：兴国县</w:t>
      </w:r>
      <w:r>
        <w:rPr>
          <w:rFonts w:hint="eastAsia" w:ascii="仿宋" w:hAnsi="仿宋" w:eastAsia="仿宋" w:cs="Times New Roman"/>
          <w:sz w:val="30"/>
          <w:szCs w:val="30"/>
          <w:lang w:eastAsia="zh-CN"/>
        </w:rPr>
        <w:t>社富乡</w:t>
      </w:r>
      <w:r>
        <w:rPr>
          <w:rFonts w:hint="eastAsia" w:ascii="仿宋" w:hAnsi="仿宋" w:eastAsia="仿宋" w:cs="Times New Roman"/>
          <w:sz w:val="30"/>
          <w:szCs w:val="30"/>
        </w:rPr>
        <w:t>人民政府（需按单位预算级次分别列出）。</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本部门</w:t>
      </w:r>
      <w:r>
        <w:rPr>
          <w:rFonts w:hint="eastAsia" w:ascii="仿宋" w:hAnsi="仿宋" w:eastAsia="仿宋" w:cs="Times New Roman"/>
          <w:sz w:val="30"/>
          <w:szCs w:val="30"/>
          <w:lang w:eastAsia="zh-CN"/>
        </w:rPr>
        <w:t>2021年</w:t>
      </w:r>
      <w:r>
        <w:rPr>
          <w:rFonts w:hint="eastAsia" w:ascii="仿宋" w:hAnsi="仿宋" w:eastAsia="仿宋" w:cs="Times New Roman"/>
          <w:sz w:val="30"/>
          <w:szCs w:val="30"/>
        </w:rPr>
        <w:t>年末实有人数</w:t>
      </w:r>
      <w:r>
        <w:rPr>
          <w:rFonts w:hint="eastAsia" w:ascii="仿宋" w:hAnsi="仿宋" w:eastAsia="仿宋" w:cs="Times New Roman"/>
          <w:sz w:val="30"/>
          <w:szCs w:val="30"/>
          <w:lang w:val="en-US" w:eastAsia="zh-CN"/>
        </w:rPr>
        <w:t>87</w:t>
      </w:r>
      <w:r>
        <w:rPr>
          <w:rFonts w:hint="eastAsia" w:ascii="仿宋" w:hAnsi="仿宋" w:eastAsia="仿宋" w:cs="Times New Roman"/>
          <w:sz w:val="30"/>
          <w:szCs w:val="30"/>
        </w:rPr>
        <w:t>人，其中在职人员</w:t>
      </w:r>
      <w:r>
        <w:rPr>
          <w:rFonts w:hint="eastAsia" w:ascii="仿宋" w:hAnsi="仿宋" w:eastAsia="仿宋" w:cs="Times New Roman"/>
          <w:sz w:val="30"/>
          <w:szCs w:val="30"/>
          <w:lang w:val="en-US" w:eastAsia="zh-CN"/>
        </w:rPr>
        <w:t>55</w:t>
      </w:r>
      <w:r>
        <w:rPr>
          <w:rFonts w:hint="eastAsia" w:ascii="仿宋" w:hAnsi="仿宋" w:eastAsia="仿宋" w:cs="Times New Roman"/>
          <w:sz w:val="30"/>
          <w:szCs w:val="30"/>
        </w:rPr>
        <w:t>人，离休人员0人，退休人员0人；年末其他人员</w:t>
      </w:r>
      <w:r>
        <w:rPr>
          <w:rFonts w:hint="eastAsia" w:ascii="仿宋" w:hAnsi="仿宋" w:eastAsia="仿宋" w:cs="Times New Roman"/>
          <w:sz w:val="30"/>
          <w:szCs w:val="30"/>
          <w:lang w:val="en-US" w:eastAsia="zh-CN"/>
        </w:rPr>
        <w:t>22</w:t>
      </w:r>
      <w:r>
        <w:rPr>
          <w:rFonts w:hint="eastAsia" w:ascii="仿宋" w:hAnsi="仿宋" w:eastAsia="仿宋" w:cs="Times New Roman"/>
          <w:sz w:val="30"/>
          <w:szCs w:val="30"/>
        </w:rPr>
        <w:t>人；年末学生人数</w:t>
      </w:r>
      <w:r>
        <w:rPr>
          <w:rFonts w:hint="eastAsia" w:ascii="仿宋" w:hAnsi="仿宋" w:eastAsia="仿宋" w:cs="Times New Roman"/>
          <w:sz w:val="30"/>
          <w:szCs w:val="30"/>
          <w:lang w:val="en-US" w:eastAsia="zh-CN"/>
        </w:rPr>
        <w:t>0</w:t>
      </w:r>
      <w:r>
        <w:rPr>
          <w:rFonts w:hint="eastAsia" w:ascii="仿宋" w:hAnsi="仿宋" w:eastAsia="仿宋" w:cs="Times New Roman"/>
          <w:sz w:val="30"/>
          <w:szCs w:val="30"/>
        </w:rPr>
        <w:t>人。</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cs="Times New Roman"/>
          <w:b/>
          <w:sz w:val="32"/>
          <w:szCs w:val="32"/>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b/>
          <w:sz w:val="32"/>
          <w:szCs w:val="32"/>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b/>
          <w:sz w:val="32"/>
          <w:szCs w:val="32"/>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b/>
          <w:sz w:val="32"/>
          <w:szCs w:val="32"/>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b/>
          <w:sz w:val="32"/>
          <w:szCs w:val="32"/>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b/>
          <w:sz w:val="32"/>
          <w:szCs w:val="32"/>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b/>
          <w:sz w:val="32"/>
          <w:szCs w:val="32"/>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b/>
          <w:sz w:val="32"/>
          <w:szCs w:val="32"/>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b/>
          <w:sz w:val="32"/>
          <w:szCs w:val="32"/>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b/>
          <w:sz w:val="32"/>
          <w:szCs w:val="32"/>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b/>
          <w:sz w:val="32"/>
          <w:szCs w:val="32"/>
        </w:rPr>
      </w:pPr>
    </w:p>
    <w:p>
      <w:pPr>
        <w:keepNext w:val="0"/>
        <w:keepLines w:val="0"/>
        <w:pageBreakBefore w:val="0"/>
        <w:widowControl/>
        <w:kinsoku/>
        <w:wordWrap/>
        <w:overflowPunct/>
        <w:topLinePunct w:val="0"/>
        <w:autoSpaceDE/>
        <w:autoSpaceDN/>
        <w:bidi w:val="0"/>
        <w:spacing w:line="560" w:lineRule="exact"/>
        <w:ind w:left="0" w:leftChars="0" w:firstLine="640" w:firstLineChars="200"/>
        <w:jc w:val="left"/>
        <w:textAlignment w:val="auto"/>
        <w:outlineLvl w:val="9"/>
        <w:rPr>
          <w:rFonts w:ascii="宋体" w:hAnsi="宋体"/>
          <w:b/>
          <w:sz w:val="32"/>
          <w:szCs w:val="32"/>
        </w:rPr>
      </w:pPr>
    </w:p>
    <w:p>
      <w:pPr>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leftChars="0" w:firstLine="0" w:firstLineChars="0"/>
        <w:jc w:val="center"/>
        <w:textAlignment w:val="auto"/>
        <w:outlineLvl w:val="9"/>
        <w:rPr>
          <w:rFonts w:hint="eastAsia" w:ascii="宋体" w:hAnsi="宋体" w:cs="Times New Roman"/>
          <w:b/>
          <w:sz w:val="32"/>
          <w:szCs w:val="32"/>
        </w:rPr>
      </w:pPr>
      <w:r>
        <w:rPr>
          <w:rFonts w:hint="eastAsia" w:ascii="宋体" w:hAnsi="宋体" w:cs="Times New Roman"/>
          <w:b/>
          <w:sz w:val="32"/>
          <w:szCs w:val="32"/>
          <w:lang w:eastAsia="zh-CN"/>
        </w:rPr>
        <w:t>2021年度</w:t>
      </w:r>
      <w:r>
        <w:rPr>
          <w:rFonts w:hint="eastAsia" w:ascii="宋体" w:hAnsi="宋体" w:cs="Times New Roman"/>
          <w:b/>
          <w:sz w:val="32"/>
          <w:szCs w:val="32"/>
        </w:rPr>
        <w:t>部门决算表</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r>
        <w:rPr>
          <w:rFonts w:hint="eastAsia" w:ascii="宋体" w:hAnsi="宋体" w:cs="Times New Roman"/>
          <w:b/>
          <w:sz w:val="32"/>
          <w:szCs w:val="32"/>
          <w:lang w:eastAsia="zh-CN"/>
        </w:rPr>
        <w:drawing>
          <wp:inline distT="0" distB="0" distL="114300" distR="114300">
            <wp:extent cx="5730240" cy="5639435"/>
            <wp:effectExtent l="0" t="0" r="3810" b="18415"/>
            <wp:docPr id="2" name="图片 2" descr="1865a560d13a4f84390b5e0e0b68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865a560d13a4f84390b5e0e0b68702"/>
                    <pic:cNvPicPr>
                      <a:picLocks noChangeAspect="1"/>
                    </pic:cNvPicPr>
                  </pic:nvPicPr>
                  <pic:blipFill>
                    <a:blip r:embed="rId4"/>
                    <a:stretch>
                      <a:fillRect/>
                    </a:stretch>
                  </pic:blipFill>
                  <pic:spPr>
                    <a:xfrm>
                      <a:off x="0" y="0"/>
                      <a:ext cx="5730240" cy="5639435"/>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val="0"/>
        <w:snapToGrid w:val="0"/>
        <w:spacing w:line="560" w:lineRule="exact"/>
        <w:ind w:left="0" w:leftChars="0" w:firstLine="0" w:firstLineChars="0"/>
        <w:jc w:val="left"/>
        <w:textAlignment w:val="auto"/>
        <w:outlineLvl w:val="9"/>
        <w:rPr>
          <w:rFonts w:ascii="宋体" w:hAnsi="宋体"/>
          <w:b/>
          <w:sz w:val="32"/>
          <w:szCs w:val="32"/>
        </w:rPr>
      </w:pPr>
    </w:p>
    <w:p>
      <w:pPr>
        <w:keepNext w:val="0"/>
        <w:keepLines w:val="0"/>
        <w:pageBreakBefore w:val="0"/>
        <w:widowControl/>
        <w:kinsoku/>
        <w:wordWrap/>
        <w:overflowPunct/>
        <w:topLinePunct w:val="0"/>
        <w:autoSpaceDE/>
        <w:autoSpaceDN/>
        <w:bidi w:val="0"/>
        <w:adjustRightInd w:val="0"/>
        <w:snapToGrid w:val="0"/>
        <w:spacing w:line="560" w:lineRule="exact"/>
        <w:ind w:left="0" w:leftChars="0" w:firstLine="0" w:firstLineChars="0"/>
        <w:jc w:val="left"/>
        <w:textAlignment w:val="auto"/>
        <w:outlineLvl w:val="9"/>
        <w:rPr>
          <w:rFonts w:ascii="宋体" w:hAnsi="宋体"/>
          <w:b/>
          <w:sz w:val="32"/>
          <w:szCs w:val="32"/>
        </w:rPr>
      </w:pP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r>
        <w:rPr>
          <w:rFonts w:hint="eastAsia" w:ascii="宋体" w:hAnsi="宋体" w:cs="Times New Roman"/>
          <w:b/>
          <w:sz w:val="32"/>
          <w:szCs w:val="32"/>
          <w:lang w:eastAsia="zh-CN"/>
        </w:rPr>
        <w:drawing>
          <wp:inline distT="0" distB="0" distL="114300" distR="114300">
            <wp:extent cx="5725160" cy="4634865"/>
            <wp:effectExtent l="0" t="0" r="8890" b="13335"/>
            <wp:docPr id="4" name="图片 4" descr="25caa40b10b6ed4f80ad4eb3e0dfc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5caa40b10b6ed4f80ad4eb3e0dfcbf"/>
                    <pic:cNvPicPr>
                      <a:picLocks noChangeAspect="1"/>
                    </pic:cNvPicPr>
                  </pic:nvPicPr>
                  <pic:blipFill>
                    <a:blip r:embed="rId5"/>
                    <a:stretch>
                      <a:fillRect/>
                    </a:stretch>
                  </pic:blipFill>
                  <pic:spPr>
                    <a:xfrm>
                      <a:off x="0" y="0"/>
                      <a:ext cx="5725160" cy="4634865"/>
                    </a:xfrm>
                    <a:prstGeom prst="rect">
                      <a:avLst/>
                    </a:prstGeom>
                  </pic:spPr>
                </pic:pic>
              </a:graphicData>
            </a:graphic>
          </wp:inline>
        </w:drawing>
      </w:r>
      <w:r>
        <w:rPr>
          <w:rFonts w:hint="eastAsia" w:ascii="宋体" w:hAnsi="宋体" w:cs="Times New Roman"/>
          <w:b/>
          <w:sz w:val="32"/>
          <w:szCs w:val="32"/>
          <w:lang w:eastAsia="zh-CN"/>
        </w:rPr>
        <w:drawing>
          <wp:inline distT="0" distB="0" distL="114300" distR="114300">
            <wp:extent cx="5726430" cy="7477125"/>
            <wp:effectExtent l="0" t="0" r="7620" b="9525"/>
            <wp:docPr id="5" name="图片 5" descr="5e2fb5e33e89d779e4971f6368a1d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e2fb5e33e89d779e4971f6368a1d15"/>
                    <pic:cNvPicPr>
                      <a:picLocks noChangeAspect="1"/>
                    </pic:cNvPicPr>
                  </pic:nvPicPr>
                  <pic:blipFill>
                    <a:blip r:embed="rId6"/>
                    <a:stretch>
                      <a:fillRect/>
                    </a:stretch>
                  </pic:blipFill>
                  <pic:spPr>
                    <a:xfrm>
                      <a:off x="0" y="0"/>
                      <a:ext cx="5726430" cy="7477125"/>
                    </a:xfrm>
                    <a:prstGeom prst="rect">
                      <a:avLst/>
                    </a:prstGeom>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r>
        <w:rPr>
          <w:rFonts w:hint="eastAsia" w:ascii="宋体" w:hAnsi="宋体" w:cs="Times New Roman"/>
          <w:b/>
          <w:sz w:val="32"/>
          <w:szCs w:val="32"/>
          <w:lang w:eastAsia="zh-CN"/>
        </w:rPr>
        <w:drawing>
          <wp:inline distT="0" distB="0" distL="114300" distR="114300">
            <wp:extent cx="5727065" cy="4378325"/>
            <wp:effectExtent l="0" t="0" r="6985" b="3175"/>
            <wp:docPr id="6" name="图片 6" descr="4ffb244cbcea764401f6f8a69484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ffb244cbcea764401f6f8a69484214"/>
                    <pic:cNvPicPr>
                      <a:picLocks noChangeAspect="1"/>
                    </pic:cNvPicPr>
                  </pic:nvPicPr>
                  <pic:blipFill>
                    <a:blip r:embed="rId7"/>
                    <a:stretch>
                      <a:fillRect/>
                    </a:stretch>
                  </pic:blipFill>
                  <pic:spPr>
                    <a:xfrm>
                      <a:off x="0" y="0"/>
                      <a:ext cx="5727065" cy="4378325"/>
                    </a:xfrm>
                    <a:prstGeom prst="rect">
                      <a:avLst/>
                    </a:prstGeom>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r>
        <w:rPr>
          <w:rFonts w:hint="eastAsia" w:ascii="宋体" w:hAnsi="宋体" w:cs="Times New Roman"/>
          <w:b/>
          <w:sz w:val="32"/>
          <w:szCs w:val="32"/>
          <w:lang w:eastAsia="zh-CN"/>
        </w:rPr>
        <w:drawing>
          <wp:inline distT="0" distB="0" distL="114300" distR="114300">
            <wp:extent cx="5178425" cy="8860790"/>
            <wp:effectExtent l="0" t="0" r="3175" b="16510"/>
            <wp:docPr id="7" name="图片 7" descr="79f4fc943b7cc829cca273c3be83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9f4fc943b7cc829cca273c3be83752"/>
                    <pic:cNvPicPr>
                      <a:picLocks noChangeAspect="1"/>
                    </pic:cNvPicPr>
                  </pic:nvPicPr>
                  <pic:blipFill>
                    <a:blip r:embed="rId8"/>
                    <a:stretch>
                      <a:fillRect/>
                    </a:stretch>
                  </pic:blipFill>
                  <pic:spPr>
                    <a:xfrm>
                      <a:off x="0" y="0"/>
                      <a:ext cx="5178425" cy="8860790"/>
                    </a:xfrm>
                    <a:prstGeom prst="rect">
                      <a:avLst/>
                    </a:prstGeom>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r>
        <w:rPr>
          <w:rFonts w:hint="eastAsia" w:ascii="宋体" w:hAnsi="宋体" w:cs="Times New Roman"/>
          <w:b/>
          <w:sz w:val="32"/>
          <w:szCs w:val="32"/>
          <w:lang w:eastAsia="zh-CN"/>
        </w:rPr>
        <w:drawing>
          <wp:inline distT="0" distB="0" distL="114300" distR="114300">
            <wp:extent cx="5690235" cy="8852535"/>
            <wp:effectExtent l="0" t="0" r="5715" b="5715"/>
            <wp:docPr id="8" name="图片 8" descr="131efc04e71bf820b80e517707d1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31efc04e71bf820b80e517707d1738"/>
                    <pic:cNvPicPr>
                      <a:picLocks noChangeAspect="1"/>
                    </pic:cNvPicPr>
                  </pic:nvPicPr>
                  <pic:blipFill>
                    <a:blip r:embed="rId9"/>
                    <a:stretch>
                      <a:fillRect/>
                    </a:stretch>
                  </pic:blipFill>
                  <pic:spPr>
                    <a:xfrm>
                      <a:off x="0" y="0"/>
                      <a:ext cx="5690235" cy="8852535"/>
                    </a:xfrm>
                    <a:prstGeom prst="rect">
                      <a:avLst/>
                    </a:prstGeom>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r>
        <w:rPr>
          <w:rFonts w:hint="eastAsia" w:ascii="宋体" w:hAnsi="宋体" w:cs="Times New Roman"/>
          <w:b/>
          <w:sz w:val="32"/>
          <w:szCs w:val="32"/>
          <w:lang w:eastAsia="zh-CN"/>
        </w:rPr>
        <w:drawing>
          <wp:inline distT="0" distB="0" distL="114300" distR="114300">
            <wp:extent cx="5610225" cy="6029960"/>
            <wp:effectExtent l="0" t="0" r="9525" b="8890"/>
            <wp:docPr id="9" name="图片 9" descr="2618b2883d468a43d67626f033e2a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618b2883d468a43d67626f033e2abb"/>
                    <pic:cNvPicPr>
                      <a:picLocks noChangeAspect="1"/>
                    </pic:cNvPicPr>
                  </pic:nvPicPr>
                  <pic:blipFill>
                    <a:blip r:embed="rId10"/>
                    <a:stretch>
                      <a:fillRect/>
                    </a:stretch>
                  </pic:blipFill>
                  <pic:spPr>
                    <a:xfrm>
                      <a:off x="0" y="0"/>
                      <a:ext cx="5610225" cy="6029960"/>
                    </a:xfrm>
                    <a:prstGeom prst="rect">
                      <a:avLst/>
                    </a:prstGeom>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r>
        <w:rPr>
          <w:rFonts w:hint="eastAsia" w:ascii="宋体" w:hAnsi="宋体" w:cs="Times New Roman"/>
          <w:b/>
          <w:sz w:val="32"/>
          <w:szCs w:val="32"/>
          <w:lang w:eastAsia="zh-CN"/>
        </w:rPr>
        <w:drawing>
          <wp:inline distT="0" distB="0" distL="114300" distR="114300">
            <wp:extent cx="5723890" cy="2180590"/>
            <wp:effectExtent l="0" t="0" r="10160" b="10160"/>
            <wp:docPr id="10" name="图片 10" descr="4d25b7d4cd8ba4ab9adca98fdc894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4d25b7d4cd8ba4ab9adca98fdc894f5"/>
                    <pic:cNvPicPr>
                      <a:picLocks noChangeAspect="1"/>
                    </pic:cNvPicPr>
                  </pic:nvPicPr>
                  <pic:blipFill>
                    <a:blip r:embed="rId11"/>
                    <a:srcRect b="3376"/>
                    <a:stretch>
                      <a:fillRect/>
                    </a:stretch>
                  </pic:blipFill>
                  <pic:spPr>
                    <a:xfrm>
                      <a:off x="0" y="0"/>
                      <a:ext cx="5723890" cy="2180590"/>
                    </a:xfrm>
                    <a:prstGeom prst="rect">
                      <a:avLst/>
                    </a:prstGeom>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r>
        <w:rPr>
          <w:rFonts w:hint="eastAsia" w:ascii="宋体" w:hAnsi="宋体" w:cs="Times New Roman"/>
          <w:b/>
          <w:sz w:val="32"/>
          <w:szCs w:val="32"/>
          <w:lang w:eastAsia="zh-CN"/>
        </w:rPr>
        <w:drawing>
          <wp:inline distT="0" distB="0" distL="114300" distR="114300">
            <wp:extent cx="5724525" cy="3016885"/>
            <wp:effectExtent l="0" t="0" r="9525" b="12065"/>
            <wp:docPr id="11" name="图片 11" descr="59550d73897be3825137f73181bc9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59550d73897be3825137f73181bc9a7"/>
                    <pic:cNvPicPr>
                      <a:picLocks noChangeAspect="1"/>
                    </pic:cNvPicPr>
                  </pic:nvPicPr>
                  <pic:blipFill>
                    <a:blip r:embed="rId12"/>
                    <a:srcRect b="5659"/>
                    <a:stretch>
                      <a:fillRect/>
                    </a:stretch>
                  </pic:blipFill>
                  <pic:spPr>
                    <a:xfrm>
                      <a:off x="0" y="0"/>
                      <a:ext cx="5724525" cy="3016885"/>
                    </a:xfrm>
                    <a:prstGeom prst="rect">
                      <a:avLst/>
                    </a:prstGeom>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r>
        <w:rPr>
          <w:rFonts w:hint="eastAsia" w:ascii="宋体" w:hAnsi="宋体" w:cs="Times New Roman"/>
          <w:b/>
          <w:sz w:val="32"/>
          <w:szCs w:val="32"/>
          <w:lang w:eastAsia="zh-CN"/>
        </w:rPr>
        <w:drawing>
          <wp:inline distT="0" distB="0" distL="114300" distR="114300">
            <wp:extent cx="5660390" cy="3018155"/>
            <wp:effectExtent l="0" t="0" r="16510" b="10795"/>
            <wp:docPr id="12" name="图片 12" descr="3cd3b2b18ea1b6c84fa01885a010f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cd3b2b18ea1b6c84fa01885a010f04"/>
                    <pic:cNvPicPr>
                      <a:picLocks noChangeAspect="1"/>
                    </pic:cNvPicPr>
                  </pic:nvPicPr>
                  <pic:blipFill>
                    <a:blip r:embed="rId13"/>
                    <a:srcRect b="5709"/>
                    <a:stretch>
                      <a:fillRect/>
                    </a:stretch>
                  </pic:blipFill>
                  <pic:spPr>
                    <a:xfrm>
                      <a:off x="0" y="0"/>
                      <a:ext cx="5660390" cy="3018155"/>
                    </a:xfrm>
                    <a:prstGeom prst="rect">
                      <a:avLst/>
                    </a:prstGeom>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outlineLvl w:val="9"/>
        <w:rPr>
          <w:rFonts w:hint="eastAsia" w:ascii="宋体" w:hAnsi="宋体" w:cs="Times New Roman"/>
          <w:b/>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640" w:firstLineChars="200"/>
        <w:jc w:val="left"/>
        <w:textAlignment w:val="auto"/>
        <w:outlineLvl w:val="9"/>
        <w:rPr>
          <w:rFonts w:hint="eastAsia" w:ascii="宋体" w:hAnsi="宋体" w:cs="Times New Roman"/>
          <w:b/>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0" w:leftChars="0" w:firstLine="640" w:firstLineChars="200"/>
        <w:jc w:val="left"/>
        <w:textAlignment w:val="auto"/>
        <w:outlineLvl w:val="9"/>
        <w:rPr>
          <w:rFonts w:hint="eastAsia" w:ascii="宋体" w:hAnsi="宋体" w:cs="Times New Roman"/>
          <w:b/>
          <w:sz w:val="32"/>
          <w:szCs w:val="32"/>
          <w:lang w:eastAsia="zh-CN"/>
        </w:rPr>
      </w:pPr>
    </w:p>
    <w:p>
      <w:pPr>
        <w:keepNext w:val="0"/>
        <w:keepLines w:val="0"/>
        <w:pageBreakBefore w:val="0"/>
        <w:widowControl/>
        <w:kinsoku/>
        <w:wordWrap/>
        <w:overflowPunct/>
        <w:topLinePunct w:val="0"/>
        <w:autoSpaceDE/>
        <w:autoSpaceDN/>
        <w:bidi w:val="0"/>
        <w:spacing w:line="560" w:lineRule="exact"/>
        <w:jc w:val="center"/>
        <w:textAlignment w:val="auto"/>
        <w:outlineLvl w:val="9"/>
        <w:rPr>
          <w:rFonts w:ascii="宋体" w:hAnsi="宋体" w:cs="Times New Roman"/>
          <w:b/>
          <w:sz w:val="32"/>
          <w:szCs w:val="32"/>
        </w:rPr>
      </w:pPr>
      <w:r>
        <w:rPr>
          <w:rFonts w:hint="eastAsia" w:ascii="宋体" w:hAnsi="宋体" w:cs="Times New Roman"/>
          <w:b/>
          <w:sz w:val="32"/>
          <w:szCs w:val="32"/>
        </w:rPr>
        <w:t>第三部分</w:t>
      </w:r>
      <w:r>
        <w:rPr>
          <w:rFonts w:hint="eastAsia" w:ascii="宋体" w:hAnsi="宋体" w:cs="Times New Roman"/>
          <w:b/>
          <w:sz w:val="32"/>
          <w:szCs w:val="32"/>
          <w:lang w:eastAsia="zh-CN"/>
        </w:rPr>
        <w:t>2021年度</w:t>
      </w:r>
      <w:r>
        <w:rPr>
          <w:rFonts w:hint="eastAsia" w:ascii="宋体" w:hAnsi="宋体" w:cs="Times New Roman"/>
          <w:b/>
          <w:sz w:val="32"/>
          <w:szCs w:val="32"/>
        </w:rPr>
        <w:t>部门决算情况说明</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黑体" w:hAnsi="黑体" w:eastAsia="黑体" w:cs="Times New Roman"/>
          <w:sz w:val="30"/>
          <w:szCs w:val="30"/>
        </w:rPr>
      </w:pPr>
      <w:r>
        <w:rPr>
          <w:rFonts w:hint="eastAsia" w:ascii="黑体" w:hAnsi="黑体" w:eastAsia="黑体" w:cs="Times New Roman"/>
          <w:sz w:val="30"/>
          <w:szCs w:val="30"/>
        </w:rPr>
        <w:t>一、收入决算情况说明</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本部门</w:t>
      </w:r>
      <w:r>
        <w:rPr>
          <w:rFonts w:hint="eastAsia" w:ascii="仿宋" w:hAnsi="仿宋" w:eastAsia="仿宋" w:cs="Times New Roman"/>
          <w:sz w:val="30"/>
          <w:szCs w:val="30"/>
          <w:lang w:eastAsia="zh-CN"/>
        </w:rPr>
        <w:t>2021年度</w:t>
      </w:r>
      <w:r>
        <w:rPr>
          <w:rFonts w:hint="eastAsia" w:ascii="仿宋" w:hAnsi="仿宋" w:eastAsia="仿宋" w:cs="Times New Roman"/>
          <w:sz w:val="30"/>
          <w:szCs w:val="30"/>
        </w:rPr>
        <w:t>收入总计5373</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838083万元，其中年初结转和结余595</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617701万元，较</w:t>
      </w:r>
      <w:r>
        <w:rPr>
          <w:rFonts w:hint="eastAsia" w:ascii="仿宋" w:hAnsi="仿宋" w:eastAsia="仿宋" w:cs="Times New Roman"/>
          <w:sz w:val="30"/>
          <w:szCs w:val="30"/>
          <w:lang w:eastAsia="zh-CN"/>
        </w:rPr>
        <w:t>2020年</w:t>
      </w:r>
      <w:r>
        <w:rPr>
          <w:rFonts w:hint="eastAsia" w:ascii="仿宋" w:hAnsi="仿宋" w:eastAsia="仿宋" w:cs="Times New Roman"/>
          <w:sz w:val="30"/>
          <w:szCs w:val="30"/>
          <w:lang w:val="en-US" w:eastAsia="zh-CN"/>
        </w:rPr>
        <w:t>减少552.188405</w:t>
      </w:r>
      <w:r>
        <w:rPr>
          <w:rFonts w:hint="eastAsia" w:ascii="仿宋" w:hAnsi="仿宋" w:eastAsia="仿宋" w:cs="Times New Roman"/>
          <w:sz w:val="30"/>
          <w:szCs w:val="30"/>
        </w:rPr>
        <w:t>万元，</w:t>
      </w:r>
      <w:r>
        <w:rPr>
          <w:rFonts w:hint="eastAsia" w:ascii="仿宋" w:hAnsi="仿宋" w:eastAsia="仿宋" w:cs="Times New Roman"/>
          <w:sz w:val="30"/>
          <w:szCs w:val="30"/>
          <w:lang w:val="en-US" w:eastAsia="zh-CN"/>
        </w:rPr>
        <w:t>降低48.11</w:t>
      </w:r>
      <w:r>
        <w:rPr>
          <w:rFonts w:hint="eastAsia" w:ascii="仿宋" w:hAnsi="仿宋" w:eastAsia="仿宋" w:cs="Times New Roman"/>
          <w:sz w:val="30"/>
          <w:szCs w:val="30"/>
        </w:rPr>
        <w:t>%；本年收入合计4778</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220382万元，较20</w:t>
      </w:r>
      <w:r>
        <w:rPr>
          <w:rFonts w:hint="eastAsia" w:ascii="仿宋" w:hAnsi="仿宋" w:eastAsia="仿宋" w:cs="Times New Roman"/>
          <w:sz w:val="30"/>
          <w:szCs w:val="30"/>
          <w:lang w:val="en-US" w:eastAsia="zh-CN"/>
        </w:rPr>
        <w:t>20</w:t>
      </w:r>
      <w:r>
        <w:rPr>
          <w:rFonts w:hint="eastAsia" w:ascii="仿宋" w:hAnsi="仿宋" w:eastAsia="仿宋" w:cs="Times New Roman"/>
          <w:sz w:val="30"/>
          <w:szCs w:val="30"/>
        </w:rPr>
        <w:t>年</w:t>
      </w:r>
      <w:r>
        <w:rPr>
          <w:rFonts w:hint="eastAsia" w:ascii="仿宋" w:hAnsi="仿宋" w:eastAsia="仿宋" w:cs="Times New Roman"/>
          <w:sz w:val="30"/>
          <w:szCs w:val="30"/>
          <w:lang w:val="en-US" w:eastAsia="zh-CN"/>
        </w:rPr>
        <w:t>增加2695.234368</w:t>
      </w:r>
      <w:r>
        <w:rPr>
          <w:rFonts w:hint="eastAsia" w:ascii="仿宋" w:hAnsi="仿宋" w:eastAsia="仿宋" w:cs="Times New Roman"/>
          <w:sz w:val="30"/>
          <w:szCs w:val="30"/>
        </w:rPr>
        <w:t>万元，</w:t>
      </w:r>
      <w:r>
        <w:rPr>
          <w:rFonts w:hint="eastAsia" w:ascii="仿宋" w:hAnsi="仿宋" w:eastAsia="仿宋" w:cs="Times New Roman"/>
          <w:sz w:val="30"/>
          <w:szCs w:val="30"/>
          <w:lang w:val="en-US" w:eastAsia="zh-CN"/>
        </w:rPr>
        <w:t>提高129.39</w:t>
      </w:r>
      <w:r>
        <w:rPr>
          <w:rFonts w:hint="eastAsia" w:ascii="仿宋" w:hAnsi="仿宋" w:eastAsia="仿宋" w:cs="Times New Roman"/>
          <w:sz w:val="30"/>
          <w:szCs w:val="30"/>
        </w:rPr>
        <w:t>%，主要原因是：</w:t>
      </w:r>
      <w:r>
        <w:rPr>
          <w:rFonts w:hint="eastAsia" w:ascii="仿宋" w:hAnsi="仿宋" w:eastAsia="仿宋" w:cs="Times New Roman"/>
          <w:sz w:val="30"/>
          <w:szCs w:val="30"/>
          <w:lang w:val="en-US" w:eastAsia="zh-CN"/>
        </w:rPr>
        <w:t>乡村振兴等项目支出增加</w:t>
      </w:r>
      <w:r>
        <w:rPr>
          <w:rFonts w:hint="eastAsia" w:ascii="仿宋" w:hAnsi="仿宋" w:eastAsia="仿宋" w:cs="Times New Roman"/>
          <w:sz w:val="30"/>
          <w:szCs w:val="30"/>
        </w:rPr>
        <w:t>。</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Times New Roman"/>
          <w:sz w:val="30"/>
          <w:szCs w:val="30"/>
          <w:lang w:eastAsia="zh-CN"/>
        </w:rPr>
      </w:pPr>
      <w:r>
        <w:rPr>
          <w:rFonts w:hint="eastAsia" w:ascii="仿宋" w:hAnsi="仿宋" w:eastAsia="仿宋" w:cs="Times New Roman"/>
          <w:sz w:val="30"/>
          <w:szCs w:val="30"/>
        </w:rPr>
        <w:t>本年收入的具体构成为：财政拨款收入</w:t>
      </w:r>
      <w:r>
        <w:rPr>
          <w:rFonts w:hint="eastAsia" w:ascii="仿宋" w:hAnsi="仿宋" w:eastAsia="仿宋" w:cs="Times New Roman"/>
          <w:sz w:val="30"/>
          <w:szCs w:val="30"/>
          <w:lang w:val="en-US" w:eastAsia="zh-CN"/>
        </w:rPr>
        <w:t>2878.393262</w:t>
      </w:r>
      <w:r>
        <w:rPr>
          <w:rFonts w:hint="eastAsia" w:ascii="仿宋" w:hAnsi="仿宋" w:eastAsia="仿宋" w:cs="Times New Roman"/>
          <w:sz w:val="30"/>
          <w:szCs w:val="30"/>
        </w:rPr>
        <w:t>万元，占</w:t>
      </w:r>
      <w:r>
        <w:rPr>
          <w:rFonts w:hint="eastAsia" w:ascii="仿宋" w:hAnsi="仿宋" w:eastAsia="仿宋" w:cs="Times New Roman"/>
          <w:sz w:val="30"/>
          <w:szCs w:val="30"/>
          <w:lang w:val="en-US" w:eastAsia="zh-CN"/>
        </w:rPr>
        <w:t>53.56</w:t>
      </w:r>
      <w:r>
        <w:rPr>
          <w:rFonts w:hint="eastAsia" w:ascii="仿宋" w:hAnsi="仿宋" w:eastAsia="仿宋" w:cs="Times New Roman"/>
          <w:sz w:val="30"/>
          <w:szCs w:val="30"/>
        </w:rPr>
        <w:t>%；事业收入0万元，占0%；经营收入0万元，占0%；其他收入1899</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82712万元，占</w:t>
      </w:r>
      <w:r>
        <w:rPr>
          <w:rFonts w:hint="eastAsia" w:ascii="仿宋" w:hAnsi="仿宋" w:eastAsia="仿宋" w:cs="Times New Roman"/>
          <w:sz w:val="30"/>
          <w:szCs w:val="30"/>
          <w:lang w:val="en-US" w:eastAsia="zh-CN"/>
        </w:rPr>
        <w:t>35.35</w:t>
      </w:r>
      <w:r>
        <w:rPr>
          <w:rFonts w:hint="eastAsia" w:ascii="仿宋" w:hAnsi="仿宋" w:eastAsia="仿宋" w:cs="Times New Roman"/>
          <w:sz w:val="30"/>
          <w:szCs w:val="30"/>
        </w:rPr>
        <w:t>%。</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黑体" w:hAnsi="黑体" w:eastAsia="黑体" w:cs="Times New Roman"/>
          <w:sz w:val="30"/>
          <w:szCs w:val="30"/>
        </w:rPr>
      </w:pPr>
      <w:r>
        <w:rPr>
          <w:rFonts w:hint="eastAsia" w:ascii="黑体" w:hAnsi="黑体" w:eastAsia="黑体" w:cs="Times New Roman"/>
          <w:sz w:val="30"/>
          <w:szCs w:val="30"/>
        </w:rPr>
        <w:t>二、支出决算情况说明</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本部门</w:t>
      </w:r>
      <w:r>
        <w:rPr>
          <w:rFonts w:hint="eastAsia" w:ascii="仿宋" w:hAnsi="仿宋" w:eastAsia="仿宋" w:cs="Times New Roman"/>
          <w:sz w:val="30"/>
          <w:szCs w:val="30"/>
          <w:lang w:eastAsia="zh-CN"/>
        </w:rPr>
        <w:t>2021年度</w:t>
      </w:r>
      <w:r>
        <w:rPr>
          <w:rFonts w:hint="eastAsia" w:ascii="仿宋" w:hAnsi="仿宋" w:eastAsia="仿宋" w:cs="Times New Roman"/>
          <w:sz w:val="30"/>
          <w:szCs w:val="30"/>
        </w:rPr>
        <w:t>支出总计5373</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838083万元，其中本年支出合计5373</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8380.83万元，较20</w:t>
      </w:r>
      <w:r>
        <w:rPr>
          <w:rFonts w:hint="eastAsia" w:ascii="仿宋" w:hAnsi="仿宋" w:eastAsia="仿宋" w:cs="Times New Roman"/>
          <w:sz w:val="30"/>
          <w:szCs w:val="30"/>
          <w:lang w:val="en-US" w:eastAsia="zh-CN"/>
        </w:rPr>
        <w:t>20</w:t>
      </w:r>
      <w:r>
        <w:rPr>
          <w:rFonts w:hint="eastAsia" w:ascii="仿宋" w:hAnsi="仿宋" w:eastAsia="仿宋" w:cs="Times New Roman"/>
          <w:sz w:val="30"/>
          <w:szCs w:val="30"/>
        </w:rPr>
        <w:t>年</w:t>
      </w:r>
      <w:r>
        <w:rPr>
          <w:rFonts w:hint="eastAsia" w:ascii="仿宋" w:hAnsi="仿宋" w:eastAsia="仿宋" w:cs="Times New Roman"/>
          <w:sz w:val="30"/>
          <w:szCs w:val="30"/>
          <w:lang w:val="en-US" w:eastAsia="zh-CN"/>
        </w:rPr>
        <w:t>增加3206.049602</w:t>
      </w:r>
      <w:r>
        <w:rPr>
          <w:rFonts w:hint="eastAsia" w:ascii="仿宋" w:hAnsi="仿宋" w:eastAsia="仿宋" w:cs="Times New Roman"/>
          <w:sz w:val="30"/>
          <w:szCs w:val="30"/>
        </w:rPr>
        <w:t>万元，</w:t>
      </w:r>
      <w:r>
        <w:rPr>
          <w:rFonts w:hint="eastAsia" w:ascii="仿宋" w:hAnsi="仿宋" w:eastAsia="仿宋" w:cs="Times New Roman"/>
          <w:sz w:val="30"/>
          <w:szCs w:val="30"/>
          <w:lang w:val="en-US" w:eastAsia="zh-CN"/>
        </w:rPr>
        <w:t>提高147.9</w:t>
      </w:r>
      <w:r>
        <w:rPr>
          <w:rFonts w:hint="eastAsia" w:ascii="仿宋" w:hAnsi="仿宋" w:eastAsia="仿宋" w:cs="Times New Roman"/>
          <w:sz w:val="30"/>
          <w:szCs w:val="30"/>
        </w:rPr>
        <w:t>%，主要原因是：</w:t>
      </w:r>
      <w:r>
        <w:rPr>
          <w:rFonts w:hint="eastAsia" w:ascii="仿宋" w:hAnsi="仿宋" w:eastAsia="仿宋" w:cs="Times New Roman"/>
          <w:sz w:val="30"/>
          <w:szCs w:val="30"/>
          <w:lang w:val="en-US" w:eastAsia="zh-CN"/>
        </w:rPr>
        <w:t>项目支出增加</w:t>
      </w:r>
      <w:r>
        <w:rPr>
          <w:rFonts w:hint="eastAsia" w:ascii="仿宋" w:hAnsi="仿宋" w:eastAsia="仿宋" w:cs="Times New Roman"/>
          <w:sz w:val="30"/>
          <w:szCs w:val="30"/>
        </w:rPr>
        <w:t>；年末结转和结余</w:t>
      </w:r>
      <w:r>
        <w:rPr>
          <w:rFonts w:hint="eastAsia" w:ascii="仿宋" w:hAnsi="仿宋" w:eastAsia="仿宋" w:cs="Times New Roman"/>
          <w:sz w:val="30"/>
          <w:szCs w:val="30"/>
          <w:lang w:val="en-US" w:eastAsia="zh-CN"/>
        </w:rPr>
        <w:t>0</w:t>
      </w:r>
      <w:r>
        <w:rPr>
          <w:rFonts w:hint="eastAsia" w:ascii="仿宋" w:hAnsi="仿宋" w:eastAsia="仿宋" w:cs="Times New Roman"/>
          <w:sz w:val="30"/>
          <w:szCs w:val="30"/>
        </w:rPr>
        <w:t>万元，较</w:t>
      </w:r>
      <w:r>
        <w:rPr>
          <w:rFonts w:hint="eastAsia" w:ascii="仿宋" w:hAnsi="仿宋" w:eastAsia="仿宋" w:cs="Times New Roman"/>
          <w:sz w:val="30"/>
          <w:szCs w:val="30"/>
          <w:lang w:eastAsia="zh-CN"/>
        </w:rPr>
        <w:t>2020年</w:t>
      </w:r>
      <w:r>
        <w:rPr>
          <w:rFonts w:hint="eastAsia" w:ascii="仿宋" w:hAnsi="仿宋" w:eastAsia="仿宋" w:cs="Times New Roman"/>
          <w:sz w:val="30"/>
          <w:szCs w:val="30"/>
          <w:lang w:val="en-US" w:eastAsia="zh-CN"/>
        </w:rPr>
        <w:t>减少</w:t>
      </w:r>
      <w:r>
        <w:rPr>
          <w:rFonts w:hint="eastAsia" w:ascii="仿宋" w:hAnsi="仿宋" w:eastAsia="仿宋" w:cs="Times New Roman"/>
          <w:sz w:val="30"/>
          <w:szCs w:val="30"/>
        </w:rPr>
        <w:t>1063</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003639万元，</w:t>
      </w:r>
      <w:r>
        <w:rPr>
          <w:rFonts w:hint="eastAsia" w:ascii="仿宋" w:hAnsi="仿宋" w:eastAsia="仿宋" w:cs="Times New Roman"/>
          <w:sz w:val="30"/>
          <w:szCs w:val="30"/>
          <w:lang w:val="en-US" w:eastAsia="zh-CN"/>
        </w:rPr>
        <w:t>减少100</w:t>
      </w:r>
      <w:r>
        <w:rPr>
          <w:rFonts w:hint="eastAsia" w:ascii="仿宋" w:hAnsi="仿宋" w:eastAsia="仿宋" w:cs="Times New Roman"/>
          <w:sz w:val="30"/>
          <w:szCs w:val="30"/>
        </w:rPr>
        <w:t>%，主要原因是：人员经费</w:t>
      </w:r>
      <w:r>
        <w:rPr>
          <w:rFonts w:hint="eastAsia" w:ascii="仿宋" w:hAnsi="仿宋" w:eastAsia="仿宋" w:cs="Times New Roman"/>
          <w:sz w:val="30"/>
          <w:szCs w:val="30"/>
          <w:lang w:val="en-US" w:eastAsia="zh-CN"/>
        </w:rPr>
        <w:t>支出和项目支出增加</w:t>
      </w:r>
      <w:r>
        <w:rPr>
          <w:rFonts w:hint="eastAsia" w:ascii="仿宋" w:hAnsi="仿宋" w:eastAsia="仿宋" w:cs="Times New Roman"/>
          <w:sz w:val="30"/>
          <w:szCs w:val="30"/>
        </w:rPr>
        <w:t>。</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本年支出的具体构成为：基本支出</w:t>
      </w:r>
      <w:r>
        <w:rPr>
          <w:rFonts w:hint="eastAsia" w:ascii="仿宋" w:hAnsi="仿宋" w:eastAsia="仿宋" w:cs="Times New Roman"/>
          <w:sz w:val="30"/>
          <w:szCs w:val="30"/>
          <w:lang w:val="en-US" w:eastAsia="zh-CN"/>
        </w:rPr>
        <w:t>1459.681627</w:t>
      </w:r>
      <w:r>
        <w:rPr>
          <w:rFonts w:hint="eastAsia" w:ascii="仿宋" w:hAnsi="仿宋" w:eastAsia="仿宋" w:cs="Times New Roman"/>
          <w:sz w:val="30"/>
          <w:szCs w:val="30"/>
        </w:rPr>
        <w:t>万元，占</w:t>
      </w:r>
      <w:r>
        <w:rPr>
          <w:rFonts w:hint="eastAsia" w:ascii="仿宋" w:hAnsi="仿宋" w:eastAsia="仿宋" w:cs="Times New Roman"/>
          <w:sz w:val="30"/>
          <w:szCs w:val="30"/>
          <w:lang w:val="en-US" w:eastAsia="zh-CN"/>
        </w:rPr>
        <w:t>27.16</w:t>
      </w:r>
      <w:r>
        <w:rPr>
          <w:rFonts w:hint="eastAsia" w:ascii="仿宋" w:hAnsi="仿宋" w:eastAsia="仿宋" w:cs="Times New Roman"/>
          <w:sz w:val="30"/>
          <w:szCs w:val="30"/>
        </w:rPr>
        <w:t>%；项目支出3914</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156456万元，占</w:t>
      </w:r>
      <w:r>
        <w:rPr>
          <w:rFonts w:hint="eastAsia" w:ascii="仿宋" w:hAnsi="仿宋" w:eastAsia="仿宋" w:cs="Times New Roman"/>
          <w:sz w:val="30"/>
          <w:szCs w:val="30"/>
          <w:lang w:val="en-US" w:eastAsia="zh-CN"/>
        </w:rPr>
        <w:t>72.84</w:t>
      </w:r>
      <w:r>
        <w:rPr>
          <w:rFonts w:hint="eastAsia" w:ascii="仿宋" w:hAnsi="仿宋" w:eastAsia="仿宋" w:cs="Times New Roman"/>
          <w:sz w:val="30"/>
          <w:szCs w:val="30"/>
        </w:rPr>
        <w:t>%；</w:t>
      </w:r>
      <w:r>
        <w:rPr>
          <w:rFonts w:hint="eastAsia" w:ascii="仿宋" w:hAnsi="仿宋" w:eastAsia="仿宋" w:cs="Times New Roman"/>
          <w:sz w:val="30"/>
          <w:szCs w:val="30"/>
          <w:lang w:val="en-US" w:eastAsia="zh-CN"/>
        </w:rPr>
        <w:t>上缴上级支出0万元，占0%；</w:t>
      </w:r>
      <w:r>
        <w:rPr>
          <w:rFonts w:hint="eastAsia" w:ascii="仿宋" w:hAnsi="仿宋" w:eastAsia="仿宋" w:cs="Times New Roman"/>
          <w:sz w:val="30"/>
          <w:szCs w:val="30"/>
        </w:rPr>
        <w:t>经营支出0万元，占0%；其他支出</w:t>
      </w:r>
      <w:r>
        <w:rPr>
          <w:rFonts w:hint="eastAsia" w:ascii="仿宋" w:hAnsi="仿宋" w:eastAsia="仿宋" w:cs="Times New Roman"/>
          <w:sz w:val="30"/>
          <w:szCs w:val="30"/>
          <w:lang w:val="en-US" w:eastAsia="zh-CN"/>
        </w:rPr>
        <w:t>0</w:t>
      </w:r>
      <w:r>
        <w:rPr>
          <w:rFonts w:hint="eastAsia" w:ascii="仿宋" w:hAnsi="仿宋" w:eastAsia="仿宋" w:cs="Times New Roman"/>
          <w:sz w:val="30"/>
          <w:szCs w:val="30"/>
        </w:rPr>
        <w:t>万元，占</w:t>
      </w:r>
      <w:r>
        <w:rPr>
          <w:rFonts w:hint="eastAsia" w:ascii="仿宋" w:hAnsi="仿宋" w:eastAsia="仿宋" w:cs="Times New Roman"/>
          <w:sz w:val="30"/>
          <w:szCs w:val="30"/>
          <w:lang w:val="en-US" w:eastAsia="zh-CN"/>
        </w:rPr>
        <w:t>0</w:t>
      </w:r>
      <w:r>
        <w:rPr>
          <w:rFonts w:hint="eastAsia" w:ascii="仿宋" w:hAnsi="仿宋" w:eastAsia="仿宋" w:cs="Times New Roman"/>
          <w:sz w:val="30"/>
          <w:szCs w:val="30"/>
        </w:rPr>
        <w:t>%。</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黑体" w:hAnsi="黑体" w:eastAsia="黑体" w:cs="Times New Roman"/>
          <w:sz w:val="30"/>
          <w:szCs w:val="30"/>
        </w:rPr>
      </w:pPr>
      <w:r>
        <w:rPr>
          <w:rFonts w:hint="eastAsia" w:ascii="黑体" w:hAnsi="黑体" w:eastAsia="黑体" w:cs="Times New Roman"/>
          <w:sz w:val="30"/>
          <w:szCs w:val="30"/>
        </w:rPr>
        <w:t>三、财政拨款支出决算情况说明</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本部门</w:t>
      </w:r>
      <w:r>
        <w:rPr>
          <w:rFonts w:hint="eastAsia" w:ascii="仿宋" w:hAnsi="仿宋" w:eastAsia="仿宋" w:cs="Times New Roman"/>
          <w:sz w:val="30"/>
          <w:szCs w:val="30"/>
          <w:lang w:eastAsia="zh-CN"/>
        </w:rPr>
        <w:t>2021年度</w:t>
      </w:r>
      <w:r>
        <w:rPr>
          <w:rFonts w:hint="eastAsia" w:ascii="仿宋" w:hAnsi="仿宋" w:eastAsia="仿宋" w:cs="Times New Roman"/>
          <w:sz w:val="30"/>
          <w:szCs w:val="30"/>
        </w:rPr>
        <w:t>财政拨款本年支出年初预算数为3474</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010963万元，决算数为3474</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010963万元，完成年初预算的100%。其中：</w:t>
      </w:r>
    </w:p>
    <w:p>
      <w:pPr>
        <w:keepNext w:val="0"/>
        <w:keepLines w:val="0"/>
        <w:pageBreakBefore w:val="0"/>
        <w:widowControl/>
        <w:numPr>
          <w:ilvl w:val="0"/>
          <w:numId w:val="2"/>
        </w:numPr>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Times New Roman"/>
          <w:sz w:val="30"/>
          <w:szCs w:val="30"/>
        </w:rPr>
      </w:pPr>
      <w:r>
        <w:rPr>
          <w:rFonts w:hint="eastAsia" w:ascii="仿宋" w:hAnsi="仿宋" w:eastAsia="仿宋" w:cs="Times New Roman"/>
          <w:sz w:val="30"/>
          <w:szCs w:val="30"/>
        </w:rPr>
        <w:t>一般公共服务支出年初预算数为1218</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921757万元，决算数为1218</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921757万元，完成年初预算的100%。</w:t>
      </w:r>
    </w:p>
    <w:p>
      <w:pPr>
        <w:keepNext w:val="0"/>
        <w:keepLines w:val="0"/>
        <w:pageBreakBefore w:val="0"/>
        <w:widowControl/>
        <w:numPr>
          <w:ilvl w:val="0"/>
          <w:numId w:val="2"/>
        </w:numPr>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Times New Roman"/>
          <w:sz w:val="30"/>
          <w:szCs w:val="30"/>
        </w:rPr>
      </w:pPr>
      <w:r>
        <w:rPr>
          <w:rFonts w:hint="eastAsia" w:ascii="仿宋" w:hAnsi="仿宋" w:eastAsia="仿宋" w:cs="Times New Roman"/>
          <w:sz w:val="30"/>
          <w:szCs w:val="30"/>
        </w:rPr>
        <w:t>教育支出年初预算数为</w:t>
      </w:r>
      <w:r>
        <w:rPr>
          <w:rFonts w:hint="eastAsia" w:ascii="仿宋" w:hAnsi="仿宋" w:eastAsia="仿宋" w:cs="Times New Roman"/>
          <w:sz w:val="30"/>
          <w:szCs w:val="30"/>
          <w:lang w:val="en-US" w:eastAsia="zh-CN"/>
        </w:rPr>
        <w:t>0</w:t>
      </w:r>
      <w:r>
        <w:rPr>
          <w:rFonts w:hint="eastAsia" w:ascii="仿宋" w:hAnsi="仿宋" w:eastAsia="仿宋" w:cs="Times New Roman"/>
          <w:sz w:val="30"/>
          <w:szCs w:val="30"/>
        </w:rPr>
        <w:t>万元，决算数为</w:t>
      </w:r>
      <w:r>
        <w:rPr>
          <w:rFonts w:hint="eastAsia" w:ascii="仿宋" w:hAnsi="仿宋" w:eastAsia="仿宋" w:cs="Times New Roman"/>
          <w:sz w:val="30"/>
          <w:szCs w:val="30"/>
          <w:lang w:val="en-US" w:eastAsia="zh-CN"/>
        </w:rPr>
        <w:t>0</w:t>
      </w:r>
      <w:r>
        <w:rPr>
          <w:rFonts w:hint="eastAsia" w:ascii="仿宋" w:hAnsi="仿宋" w:eastAsia="仿宋" w:cs="Times New Roman"/>
          <w:sz w:val="30"/>
          <w:szCs w:val="30"/>
        </w:rPr>
        <w:t>万元，完成年初预算的100%。</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w:t>
      </w:r>
      <w:r>
        <w:rPr>
          <w:rFonts w:hint="eastAsia" w:ascii="仿宋" w:hAnsi="仿宋" w:eastAsia="仿宋" w:cs="Times New Roman"/>
          <w:sz w:val="30"/>
          <w:szCs w:val="30"/>
          <w:lang w:eastAsia="zh-CN"/>
        </w:rPr>
        <w:t>三</w:t>
      </w:r>
      <w:r>
        <w:rPr>
          <w:rFonts w:hint="eastAsia" w:ascii="仿宋" w:hAnsi="仿宋" w:eastAsia="仿宋" w:cs="Times New Roman"/>
          <w:sz w:val="30"/>
          <w:szCs w:val="30"/>
        </w:rPr>
        <w:t>）社会保障和就业支出年初预算数为77</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411818万元，决算数为77</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411818万元，完成年初预算的100%。</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w:t>
      </w:r>
      <w:r>
        <w:rPr>
          <w:rFonts w:hint="eastAsia" w:ascii="仿宋" w:hAnsi="仿宋" w:eastAsia="仿宋" w:cs="Times New Roman"/>
          <w:sz w:val="30"/>
          <w:szCs w:val="30"/>
          <w:lang w:eastAsia="zh-CN"/>
        </w:rPr>
        <w:t>四</w:t>
      </w:r>
      <w:r>
        <w:rPr>
          <w:rFonts w:hint="eastAsia" w:ascii="仿宋" w:hAnsi="仿宋" w:eastAsia="仿宋" w:cs="Times New Roman"/>
          <w:sz w:val="30"/>
          <w:szCs w:val="30"/>
        </w:rPr>
        <w:t>）节能环保支出年初预算数为</w:t>
      </w:r>
      <w:r>
        <w:rPr>
          <w:rFonts w:hint="eastAsia" w:ascii="仿宋" w:hAnsi="仿宋" w:eastAsia="仿宋" w:cs="Times New Roman"/>
          <w:sz w:val="30"/>
          <w:szCs w:val="30"/>
          <w:lang w:val="en-US" w:eastAsia="zh-CN"/>
        </w:rPr>
        <w:t>11</w:t>
      </w:r>
      <w:r>
        <w:rPr>
          <w:rFonts w:hint="eastAsia" w:ascii="仿宋" w:hAnsi="仿宋" w:eastAsia="仿宋" w:cs="Times New Roman"/>
          <w:sz w:val="30"/>
          <w:szCs w:val="30"/>
        </w:rPr>
        <w:t>万元，决算数为</w:t>
      </w:r>
      <w:r>
        <w:rPr>
          <w:rFonts w:hint="eastAsia" w:ascii="仿宋" w:hAnsi="仿宋" w:eastAsia="仿宋" w:cs="Times New Roman"/>
          <w:sz w:val="30"/>
          <w:szCs w:val="30"/>
          <w:lang w:val="en-US" w:eastAsia="zh-CN"/>
        </w:rPr>
        <w:t>11</w:t>
      </w:r>
      <w:r>
        <w:rPr>
          <w:rFonts w:hint="eastAsia" w:ascii="仿宋" w:hAnsi="仿宋" w:eastAsia="仿宋" w:cs="Times New Roman"/>
          <w:sz w:val="30"/>
          <w:szCs w:val="30"/>
        </w:rPr>
        <w:t>万元，完成年初预算的100%。</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w:t>
      </w:r>
      <w:r>
        <w:rPr>
          <w:rFonts w:hint="eastAsia" w:ascii="仿宋" w:hAnsi="仿宋" w:eastAsia="仿宋" w:cs="Times New Roman"/>
          <w:sz w:val="30"/>
          <w:szCs w:val="30"/>
          <w:lang w:eastAsia="zh-CN"/>
        </w:rPr>
        <w:t>五</w:t>
      </w:r>
      <w:r>
        <w:rPr>
          <w:rFonts w:hint="eastAsia" w:ascii="仿宋" w:hAnsi="仿宋" w:eastAsia="仿宋" w:cs="Times New Roman"/>
          <w:sz w:val="30"/>
          <w:szCs w:val="30"/>
        </w:rPr>
        <w:t>）城乡社区支出年初预算数为</w:t>
      </w:r>
      <w:r>
        <w:rPr>
          <w:rFonts w:hint="eastAsia" w:ascii="仿宋" w:hAnsi="仿宋" w:eastAsia="仿宋" w:cs="Times New Roman"/>
          <w:sz w:val="30"/>
          <w:szCs w:val="30"/>
          <w:lang w:val="en-US" w:eastAsia="zh-CN"/>
        </w:rPr>
        <w:t>423.162496</w:t>
      </w:r>
      <w:r>
        <w:rPr>
          <w:rFonts w:hint="eastAsia" w:ascii="仿宋" w:hAnsi="仿宋" w:eastAsia="仿宋" w:cs="Times New Roman"/>
          <w:sz w:val="30"/>
          <w:szCs w:val="30"/>
        </w:rPr>
        <w:t>万元，决算数为</w:t>
      </w:r>
      <w:r>
        <w:rPr>
          <w:rFonts w:hint="eastAsia" w:ascii="仿宋" w:hAnsi="仿宋" w:eastAsia="仿宋" w:cs="Times New Roman"/>
          <w:sz w:val="30"/>
          <w:szCs w:val="30"/>
          <w:lang w:val="en-US" w:eastAsia="zh-CN"/>
        </w:rPr>
        <w:t>423.162496</w:t>
      </w:r>
      <w:r>
        <w:rPr>
          <w:rFonts w:hint="eastAsia" w:ascii="仿宋" w:hAnsi="仿宋" w:eastAsia="仿宋" w:cs="Times New Roman"/>
          <w:sz w:val="30"/>
          <w:szCs w:val="30"/>
        </w:rPr>
        <w:t>万元，完成年初预算的100%。</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w:t>
      </w:r>
      <w:r>
        <w:rPr>
          <w:rFonts w:hint="eastAsia" w:ascii="仿宋" w:hAnsi="仿宋" w:eastAsia="仿宋" w:cs="Times New Roman"/>
          <w:sz w:val="30"/>
          <w:szCs w:val="30"/>
          <w:lang w:eastAsia="zh-CN"/>
        </w:rPr>
        <w:t>六</w:t>
      </w:r>
      <w:r>
        <w:rPr>
          <w:rFonts w:hint="eastAsia" w:ascii="仿宋" w:hAnsi="仿宋" w:eastAsia="仿宋" w:cs="Times New Roman"/>
          <w:sz w:val="30"/>
          <w:szCs w:val="30"/>
        </w:rPr>
        <w:t>）农林水支出年初预算数为1722</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914892万元，决算数为1722</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914892万元，完成年初预算的100%。</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Times New Roman"/>
          <w:sz w:val="30"/>
          <w:szCs w:val="30"/>
        </w:rPr>
      </w:pPr>
      <w:r>
        <w:rPr>
          <w:rFonts w:hint="eastAsia" w:ascii="仿宋" w:hAnsi="仿宋" w:eastAsia="仿宋" w:cs="Times New Roman"/>
          <w:sz w:val="30"/>
          <w:szCs w:val="30"/>
        </w:rPr>
        <w:t>（</w:t>
      </w:r>
      <w:r>
        <w:rPr>
          <w:rFonts w:hint="eastAsia" w:ascii="仿宋" w:hAnsi="仿宋" w:eastAsia="仿宋" w:cs="Times New Roman"/>
          <w:sz w:val="30"/>
          <w:szCs w:val="30"/>
          <w:lang w:val="en-US" w:eastAsia="zh-CN"/>
        </w:rPr>
        <w:t>七</w:t>
      </w:r>
      <w:r>
        <w:rPr>
          <w:rFonts w:hint="eastAsia" w:ascii="仿宋" w:hAnsi="仿宋" w:eastAsia="仿宋" w:cs="Times New Roman"/>
          <w:sz w:val="30"/>
          <w:szCs w:val="30"/>
        </w:rPr>
        <w:t>）交通运输支出年初预算数为</w:t>
      </w:r>
      <w:r>
        <w:rPr>
          <w:rFonts w:hint="eastAsia" w:ascii="仿宋" w:hAnsi="仿宋" w:eastAsia="仿宋" w:cs="Times New Roman"/>
          <w:sz w:val="30"/>
          <w:szCs w:val="30"/>
          <w:lang w:val="en-US" w:eastAsia="zh-CN"/>
        </w:rPr>
        <w:t>8</w:t>
      </w:r>
      <w:r>
        <w:rPr>
          <w:rFonts w:hint="eastAsia" w:ascii="仿宋" w:hAnsi="仿宋" w:eastAsia="仿宋" w:cs="Times New Roman"/>
          <w:sz w:val="30"/>
          <w:szCs w:val="30"/>
        </w:rPr>
        <w:t>万元，决算数为</w:t>
      </w:r>
      <w:r>
        <w:rPr>
          <w:rFonts w:hint="eastAsia" w:ascii="仿宋" w:hAnsi="仿宋" w:eastAsia="仿宋" w:cs="Times New Roman"/>
          <w:sz w:val="30"/>
          <w:szCs w:val="30"/>
          <w:lang w:val="en-US" w:eastAsia="zh-CN"/>
        </w:rPr>
        <w:t>8</w:t>
      </w:r>
      <w:r>
        <w:rPr>
          <w:rFonts w:hint="eastAsia" w:ascii="仿宋" w:hAnsi="仿宋" w:eastAsia="仿宋" w:cs="Times New Roman"/>
          <w:sz w:val="30"/>
          <w:szCs w:val="30"/>
        </w:rPr>
        <w:t>万元，完成年初预算的100%。</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Times New Roman"/>
          <w:sz w:val="30"/>
          <w:szCs w:val="30"/>
        </w:rPr>
      </w:pPr>
      <w:r>
        <w:rPr>
          <w:rFonts w:hint="eastAsia" w:ascii="仿宋" w:hAnsi="仿宋" w:eastAsia="仿宋" w:cs="Times New Roman"/>
          <w:sz w:val="30"/>
          <w:szCs w:val="30"/>
        </w:rPr>
        <w:t>（</w:t>
      </w:r>
      <w:r>
        <w:rPr>
          <w:rFonts w:hint="eastAsia" w:ascii="仿宋" w:hAnsi="仿宋" w:eastAsia="仿宋" w:cs="Times New Roman"/>
          <w:sz w:val="30"/>
          <w:szCs w:val="30"/>
          <w:lang w:val="en-US" w:eastAsia="zh-CN"/>
        </w:rPr>
        <w:t>八</w:t>
      </w:r>
      <w:r>
        <w:rPr>
          <w:rFonts w:hint="eastAsia" w:ascii="仿宋" w:hAnsi="仿宋" w:eastAsia="仿宋" w:cs="Times New Roman"/>
          <w:sz w:val="30"/>
          <w:szCs w:val="30"/>
        </w:rPr>
        <w:t>）自然资源海洋气象等支出</w:t>
      </w:r>
      <w:r>
        <w:rPr>
          <w:rFonts w:hint="eastAsia" w:ascii="仿宋" w:hAnsi="仿宋" w:eastAsia="仿宋" w:cs="Times New Roman"/>
          <w:sz w:val="30"/>
          <w:szCs w:val="30"/>
          <w:lang w:val="en-US" w:eastAsia="zh-CN"/>
        </w:rPr>
        <w:t>年</w:t>
      </w:r>
      <w:r>
        <w:rPr>
          <w:rFonts w:hint="eastAsia" w:ascii="仿宋" w:hAnsi="仿宋" w:eastAsia="仿宋" w:cs="Times New Roman"/>
          <w:sz w:val="30"/>
          <w:szCs w:val="30"/>
        </w:rPr>
        <w:t>初预算数为</w:t>
      </w:r>
      <w:r>
        <w:rPr>
          <w:rFonts w:hint="eastAsia" w:ascii="仿宋" w:hAnsi="仿宋" w:eastAsia="仿宋" w:cs="Times New Roman"/>
          <w:sz w:val="30"/>
          <w:szCs w:val="30"/>
          <w:lang w:val="en-US" w:eastAsia="zh-CN"/>
        </w:rPr>
        <w:t>12.6</w:t>
      </w:r>
      <w:r>
        <w:rPr>
          <w:rFonts w:hint="eastAsia" w:ascii="仿宋" w:hAnsi="仿宋" w:eastAsia="仿宋" w:cs="Times New Roman"/>
          <w:sz w:val="30"/>
          <w:szCs w:val="30"/>
        </w:rPr>
        <w:t>万元，决算数为</w:t>
      </w:r>
      <w:r>
        <w:rPr>
          <w:rFonts w:hint="eastAsia" w:ascii="仿宋" w:hAnsi="仿宋" w:eastAsia="仿宋" w:cs="Times New Roman"/>
          <w:sz w:val="30"/>
          <w:szCs w:val="30"/>
          <w:lang w:val="en-US" w:eastAsia="zh-CN"/>
        </w:rPr>
        <w:t>12.6</w:t>
      </w:r>
      <w:r>
        <w:rPr>
          <w:rFonts w:hint="eastAsia" w:ascii="仿宋" w:hAnsi="仿宋" w:eastAsia="仿宋" w:cs="Times New Roman"/>
          <w:sz w:val="30"/>
          <w:szCs w:val="30"/>
        </w:rPr>
        <w:t>万元，完成年初预算的100%。</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黑体" w:hAnsi="黑体" w:eastAsia="黑体" w:cs="Times New Roman"/>
          <w:sz w:val="30"/>
          <w:szCs w:val="30"/>
        </w:rPr>
      </w:pPr>
      <w:r>
        <w:rPr>
          <w:rFonts w:hint="eastAsia" w:ascii="黑体" w:hAnsi="黑体" w:eastAsia="黑体" w:cs="Times New Roman"/>
          <w:sz w:val="30"/>
          <w:szCs w:val="30"/>
        </w:rPr>
        <w:t>四、一般公共预算财政拨款基本支出决算情况说明</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本部门</w:t>
      </w:r>
      <w:r>
        <w:rPr>
          <w:rFonts w:hint="eastAsia" w:ascii="仿宋" w:hAnsi="仿宋" w:eastAsia="仿宋" w:cs="Times New Roman"/>
          <w:sz w:val="30"/>
          <w:szCs w:val="30"/>
          <w:lang w:eastAsia="zh-CN"/>
        </w:rPr>
        <w:t>2021年度</w:t>
      </w:r>
      <w:r>
        <w:rPr>
          <w:rFonts w:hint="eastAsia" w:ascii="仿宋" w:hAnsi="仿宋" w:eastAsia="仿宋" w:cs="Times New Roman"/>
          <w:sz w:val="30"/>
          <w:szCs w:val="30"/>
        </w:rPr>
        <w:t>一般公共预算财政拨款基本支出1459</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681627万元，其中：</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（一）工资福利支出482</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9680.84万元，较</w:t>
      </w:r>
      <w:r>
        <w:rPr>
          <w:rFonts w:hint="eastAsia" w:ascii="仿宋" w:hAnsi="仿宋" w:eastAsia="仿宋" w:cs="Times New Roman"/>
          <w:sz w:val="30"/>
          <w:szCs w:val="30"/>
          <w:lang w:eastAsia="zh-CN"/>
        </w:rPr>
        <w:t>2020年</w:t>
      </w:r>
      <w:r>
        <w:rPr>
          <w:rFonts w:hint="eastAsia" w:ascii="仿宋" w:hAnsi="仿宋" w:eastAsia="仿宋" w:cs="Times New Roman"/>
          <w:sz w:val="30"/>
          <w:szCs w:val="30"/>
          <w:lang w:val="en-US" w:eastAsia="zh-CN"/>
        </w:rPr>
        <w:t>减少376.982</w:t>
      </w:r>
      <w:r>
        <w:rPr>
          <w:rFonts w:hint="eastAsia" w:ascii="仿宋" w:hAnsi="仿宋" w:eastAsia="仿宋" w:cs="Times New Roman"/>
          <w:sz w:val="30"/>
          <w:szCs w:val="30"/>
        </w:rPr>
        <w:t>万元，</w:t>
      </w:r>
      <w:r>
        <w:rPr>
          <w:rFonts w:hint="eastAsia" w:ascii="仿宋" w:hAnsi="仿宋" w:eastAsia="仿宋" w:cs="Times New Roman"/>
          <w:sz w:val="30"/>
          <w:szCs w:val="30"/>
          <w:lang w:val="en-US" w:eastAsia="zh-CN"/>
        </w:rPr>
        <w:t>降低43.83</w:t>
      </w:r>
      <w:r>
        <w:rPr>
          <w:rFonts w:hint="eastAsia" w:ascii="仿宋" w:hAnsi="仿宋" w:eastAsia="仿宋" w:cs="Times New Roman"/>
          <w:sz w:val="30"/>
          <w:szCs w:val="30"/>
        </w:rPr>
        <w:t>%，主要原因是：机构改革到位调整人员数据。</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Times New Roman"/>
          <w:sz w:val="30"/>
          <w:szCs w:val="30"/>
          <w:lang w:val="en-US" w:eastAsia="zh-CN"/>
        </w:rPr>
      </w:pPr>
      <w:r>
        <w:rPr>
          <w:rFonts w:hint="eastAsia" w:ascii="仿宋" w:hAnsi="仿宋" w:eastAsia="仿宋" w:cs="Times New Roman"/>
          <w:sz w:val="30"/>
          <w:szCs w:val="30"/>
        </w:rPr>
        <w:t>（二）商品和服务支出601</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42612万元，较</w:t>
      </w:r>
      <w:r>
        <w:rPr>
          <w:rFonts w:hint="eastAsia" w:ascii="仿宋" w:hAnsi="仿宋" w:eastAsia="仿宋" w:cs="Times New Roman"/>
          <w:sz w:val="30"/>
          <w:szCs w:val="30"/>
          <w:lang w:eastAsia="zh-CN"/>
        </w:rPr>
        <w:t>2020年</w:t>
      </w:r>
      <w:r>
        <w:rPr>
          <w:rFonts w:hint="eastAsia" w:ascii="仿宋" w:hAnsi="仿宋" w:eastAsia="仿宋" w:cs="Times New Roman"/>
          <w:sz w:val="30"/>
          <w:szCs w:val="30"/>
          <w:lang w:val="en-US" w:eastAsia="zh-CN"/>
        </w:rPr>
        <w:t>增加415.156</w:t>
      </w:r>
      <w:r>
        <w:rPr>
          <w:rFonts w:hint="eastAsia" w:ascii="仿宋" w:hAnsi="仿宋" w:eastAsia="仿宋" w:cs="Times New Roman"/>
          <w:sz w:val="30"/>
          <w:szCs w:val="30"/>
        </w:rPr>
        <w:t>万元，</w:t>
      </w:r>
      <w:r>
        <w:rPr>
          <w:rFonts w:hint="eastAsia" w:ascii="仿宋" w:hAnsi="仿宋" w:eastAsia="仿宋" w:cs="Times New Roman"/>
          <w:sz w:val="30"/>
          <w:szCs w:val="30"/>
          <w:lang w:val="en-US" w:eastAsia="zh-CN"/>
        </w:rPr>
        <w:t>提高222.8</w:t>
      </w:r>
      <w:r>
        <w:rPr>
          <w:rFonts w:hint="eastAsia" w:ascii="仿宋" w:hAnsi="仿宋" w:eastAsia="仿宋" w:cs="Times New Roman"/>
          <w:sz w:val="30"/>
          <w:szCs w:val="30"/>
        </w:rPr>
        <w:t>%，主要原因是：</w:t>
      </w:r>
      <w:r>
        <w:rPr>
          <w:rFonts w:hint="eastAsia" w:ascii="仿宋" w:hAnsi="仿宋" w:eastAsia="仿宋" w:cs="Times New Roman"/>
          <w:sz w:val="30"/>
          <w:szCs w:val="30"/>
          <w:lang w:val="en-US" w:eastAsia="zh-CN"/>
        </w:rPr>
        <w:t>人员经费增加。</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color w:val="auto"/>
          <w:sz w:val="30"/>
          <w:szCs w:val="30"/>
        </w:rPr>
      </w:pPr>
      <w:r>
        <w:rPr>
          <w:rFonts w:hint="eastAsia" w:ascii="仿宋" w:hAnsi="仿宋" w:eastAsia="仿宋" w:cs="Times New Roman"/>
          <w:color w:val="auto"/>
          <w:sz w:val="30"/>
          <w:szCs w:val="30"/>
        </w:rPr>
        <w:t>（三）对个人和家庭补助支出375</w:t>
      </w:r>
      <w:r>
        <w:rPr>
          <w:rFonts w:hint="eastAsia" w:ascii="仿宋" w:hAnsi="仿宋" w:eastAsia="仿宋" w:cs="Times New Roman"/>
          <w:color w:val="auto"/>
          <w:sz w:val="30"/>
          <w:szCs w:val="30"/>
          <w:lang w:val="en-US" w:eastAsia="zh-CN"/>
        </w:rPr>
        <w:t>.</w:t>
      </w:r>
      <w:r>
        <w:rPr>
          <w:rFonts w:hint="eastAsia" w:ascii="仿宋" w:hAnsi="仿宋" w:eastAsia="仿宋" w:cs="Times New Roman"/>
          <w:color w:val="auto"/>
          <w:sz w:val="30"/>
          <w:szCs w:val="30"/>
        </w:rPr>
        <w:t>287万元，较</w:t>
      </w:r>
      <w:r>
        <w:rPr>
          <w:rFonts w:hint="eastAsia" w:ascii="仿宋" w:hAnsi="仿宋" w:eastAsia="仿宋" w:cs="Times New Roman"/>
          <w:color w:val="auto"/>
          <w:sz w:val="30"/>
          <w:szCs w:val="30"/>
          <w:lang w:eastAsia="zh-CN"/>
        </w:rPr>
        <w:t>2020年</w:t>
      </w:r>
      <w:r>
        <w:rPr>
          <w:rFonts w:hint="eastAsia" w:ascii="仿宋" w:hAnsi="仿宋" w:eastAsia="仿宋" w:cs="Times New Roman"/>
          <w:color w:val="auto"/>
          <w:sz w:val="30"/>
          <w:szCs w:val="30"/>
        </w:rPr>
        <w:t>增加</w:t>
      </w:r>
      <w:r>
        <w:rPr>
          <w:rFonts w:hint="eastAsia" w:ascii="仿宋" w:hAnsi="仿宋" w:eastAsia="仿宋" w:cs="Times New Roman"/>
          <w:color w:val="auto"/>
          <w:sz w:val="30"/>
          <w:szCs w:val="30"/>
          <w:lang w:val="en-US" w:eastAsia="zh-CN"/>
        </w:rPr>
        <w:t>128.72</w:t>
      </w:r>
      <w:r>
        <w:rPr>
          <w:rFonts w:hint="eastAsia" w:ascii="仿宋" w:hAnsi="仿宋" w:eastAsia="仿宋" w:cs="Times New Roman"/>
          <w:color w:val="auto"/>
          <w:sz w:val="30"/>
          <w:szCs w:val="30"/>
        </w:rPr>
        <w:t>万元，增长</w:t>
      </w:r>
      <w:r>
        <w:rPr>
          <w:rFonts w:hint="eastAsia" w:ascii="仿宋" w:hAnsi="仿宋" w:eastAsia="仿宋" w:cs="Times New Roman"/>
          <w:color w:val="auto"/>
          <w:sz w:val="30"/>
          <w:szCs w:val="30"/>
          <w:lang w:val="en-US" w:eastAsia="zh-CN"/>
        </w:rPr>
        <w:t>52.26</w:t>
      </w:r>
      <w:r>
        <w:rPr>
          <w:rFonts w:hint="eastAsia" w:ascii="仿宋" w:hAnsi="仿宋" w:eastAsia="仿宋" w:cs="Times New Roman"/>
          <w:color w:val="auto"/>
          <w:sz w:val="30"/>
          <w:szCs w:val="30"/>
        </w:rPr>
        <w:t>%，主要原因是：个人农业生产补贴</w:t>
      </w:r>
      <w:r>
        <w:rPr>
          <w:rFonts w:hint="eastAsia" w:ascii="仿宋" w:hAnsi="仿宋" w:eastAsia="仿宋" w:cs="Times New Roman"/>
          <w:color w:val="auto"/>
          <w:sz w:val="30"/>
          <w:szCs w:val="30"/>
          <w:lang w:eastAsia="zh-CN"/>
        </w:rPr>
        <w:t>和抚恤金增加</w:t>
      </w:r>
      <w:r>
        <w:rPr>
          <w:rFonts w:hint="eastAsia" w:ascii="仿宋" w:hAnsi="仿宋" w:eastAsia="仿宋" w:cs="Times New Roman"/>
          <w:color w:val="auto"/>
          <w:sz w:val="30"/>
          <w:szCs w:val="30"/>
        </w:rPr>
        <w:t>。</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黑体" w:hAnsi="黑体" w:eastAsia="黑体" w:cs="Times New Roman"/>
          <w:sz w:val="30"/>
          <w:szCs w:val="30"/>
        </w:rPr>
      </w:pPr>
      <w:r>
        <w:rPr>
          <w:rFonts w:hint="eastAsia" w:ascii="黑体" w:hAnsi="黑体" w:eastAsia="黑体" w:cs="Times New Roman"/>
          <w:sz w:val="30"/>
          <w:szCs w:val="30"/>
        </w:rPr>
        <w:t>五、一般公共预算财政拨款“三公”经费支出决算情况说明</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本部门</w:t>
      </w:r>
      <w:r>
        <w:rPr>
          <w:rFonts w:hint="eastAsia" w:ascii="仿宋" w:hAnsi="仿宋" w:eastAsia="仿宋" w:cs="Times New Roman"/>
          <w:sz w:val="30"/>
          <w:szCs w:val="30"/>
          <w:lang w:eastAsia="zh-CN"/>
        </w:rPr>
        <w:t>2021年度</w:t>
      </w:r>
      <w:r>
        <w:rPr>
          <w:rFonts w:hint="eastAsia" w:ascii="仿宋" w:hAnsi="仿宋" w:eastAsia="仿宋" w:cs="Times New Roman"/>
          <w:sz w:val="30"/>
          <w:szCs w:val="30"/>
        </w:rPr>
        <w:t>一般公共预算财政拨款“三公”经费支出年初预算数为13</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2375万元，决算数为13</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2375万元，完成年初预算的</w:t>
      </w:r>
      <w:r>
        <w:rPr>
          <w:rFonts w:hint="eastAsia" w:ascii="仿宋" w:hAnsi="仿宋" w:eastAsia="仿宋" w:cs="Times New Roman"/>
          <w:sz w:val="30"/>
          <w:szCs w:val="30"/>
          <w:lang w:val="en-US" w:eastAsia="zh-CN"/>
        </w:rPr>
        <w:t>100</w:t>
      </w:r>
      <w:r>
        <w:rPr>
          <w:rFonts w:hint="eastAsia" w:ascii="仿宋" w:hAnsi="仿宋" w:eastAsia="仿宋" w:cs="Times New Roman"/>
          <w:sz w:val="30"/>
          <w:szCs w:val="30"/>
        </w:rPr>
        <w:t>%，决算数较</w:t>
      </w:r>
      <w:r>
        <w:rPr>
          <w:rFonts w:hint="eastAsia" w:ascii="仿宋" w:hAnsi="仿宋" w:eastAsia="仿宋" w:cs="Times New Roman"/>
          <w:sz w:val="30"/>
          <w:szCs w:val="30"/>
          <w:lang w:eastAsia="zh-CN"/>
        </w:rPr>
        <w:t>2020年</w:t>
      </w:r>
      <w:r>
        <w:rPr>
          <w:rFonts w:hint="eastAsia" w:ascii="仿宋" w:hAnsi="仿宋" w:eastAsia="仿宋" w:cs="Times New Roman"/>
          <w:sz w:val="30"/>
          <w:szCs w:val="30"/>
        </w:rPr>
        <w:t>减少</w:t>
      </w:r>
      <w:r>
        <w:rPr>
          <w:rFonts w:hint="eastAsia" w:ascii="仿宋" w:hAnsi="仿宋" w:eastAsia="仿宋" w:cs="Times New Roman"/>
          <w:sz w:val="30"/>
          <w:szCs w:val="30"/>
          <w:lang w:val="en-US" w:eastAsia="zh-CN"/>
        </w:rPr>
        <w:t>7.36</w:t>
      </w:r>
      <w:r>
        <w:rPr>
          <w:rFonts w:hint="eastAsia" w:ascii="仿宋" w:hAnsi="仿宋" w:eastAsia="仿宋" w:cs="Times New Roman"/>
          <w:sz w:val="30"/>
          <w:szCs w:val="30"/>
        </w:rPr>
        <w:t>万元，减少</w:t>
      </w:r>
      <w:r>
        <w:rPr>
          <w:rFonts w:hint="eastAsia" w:ascii="仿宋" w:hAnsi="仿宋" w:eastAsia="仿宋" w:cs="Times New Roman"/>
          <w:sz w:val="30"/>
          <w:szCs w:val="30"/>
          <w:lang w:val="en-US" w:eastAsia="zh-CN"/>
        </w:rPr>
        <w:t>35.74</w:t>
      </w:r>
      <w:r>
        <w:rPr>
          <w:rFonts w:hint="eastAsia" w:ascii="仿宋" w:hAnsi="仿宋" w:eastAsia="仿宋" w:cs="Times New Roman"/>
          <w:sz w:val="30"/>
          <w:szCs w:val="30"/>
        </w:rPr>
        <w:t>%，其中：</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default" w:ascii="仿宋" w:hAnsi="仿宋" w:eastAsia="仿宋" w:cs="Times New Roman"/>
          <w:sz w:val="30"/>
          <w:szCs w:val="30"/>
          <w:lang w:val="en-US" w:eastAsia="zh-CN"/>
        </w:rPr>
      </w:pPr>
      <w:r>
        <w:rPr>
          <w:rFonts w:hint="eastAsia" w:ascii="仿宋" w:hAnsi="仿宋" w:eastAsia="仿宋" w:cs="Times New Roman"/>
          <w:sz w:val="30"/>
          <w:szCs w:val="30"/>
        </w:rPr>
        <w:t>（一）公务用车购置及运行维护费支出</w:t>
      </w:r>
      <w:r>
        <w:rPr>
          <w:rFonts w:hint="eastAsia" w:ascii="仿宋" w:hAnsi="仿宋" w:eastAsia="仿宋" w:cs="Times New Roman"/>
          <w:sz w:val="30"/>
          <w:szCs w:val="30"/>
          <w:lang w:val="en-US" w:eastAsia="zh-CN"/>
        </w:rPr>
        <w:t>5.5005</w:t>
      </w:r>
      <w:r>
        <w:rPr>
          <w:rFonts w:hint="eastAsia" w:ascii="仿宋" w:hAnsi="仿宋" w:eastAsia="仿宋" w:cs="Times New Roman"/>
          <w:sz w:val="30"/>
          <w:szCs w:val="30"/>
        </w:rPr>
        <w:t>万元，其中公务用车购置年初预算数为0万元，决算数为0万元，完成年初预算的100%，决算数较</w:t>
      </w:r>
      <w:r>
        <w:rPr>
          <w:rFonts w:hint="eastAsia" w:ascii="仿宋" w:hAnsi="仿宋" w:eastAsia="仿宋" w:cs="Times New Roman"/>
          <w:sz w:val="30"/>
          <w:szCs w:val="30"/>
          <w:lang w:eastAsia="zh-CN"/>
        </w:rPr>
        <w:t>2020年</w:t>
      </w:r>
      <w:r>
        <w:rPr>
          <w:rFonts w:hint="eastAsia" w:ascii="仿宋" w:hAnsi="仿宋" w:eastAsia="仿宋" w:cs="Times New Roman"/>
          <w:sz w:val="30"/>
          <w:szCs w:val="30"/>
        </w:rPr>
        <w:t>减少</w:t>
      </w:r>
      <w:r>
        <w:rPr>
          <w:rFonts w:hint="eastAsia" w:ascii="仿宋" w:hAnsi="仿宋" w:eastAsia="仿宋" w:cs="Times New Roman"/>
          <w:sz w:val="30"/>
          <w:szCs w:val="30"/>
          <w:lang w:val="en-US" w:eastAsia="zh-CN"/>
        </w:rPr>
        <w:t>11</w:t>
      </w:r>
      <w:r>
        <w:rPr>
          <w:rFonts w:hint="eastAsia" w:ascii="仿宋" w:hAnsi="仿宋" w:eastAsia="仿宋" w:cs="Times New Roman"/>
          <w:sz w:val="30"/>
          <w:szCs w:val="30"/>
        </w:rPr>
        <w:t>万元。公务用车运行维护费支出年初预算数为</w:t>
      </w:r>
      <w:r>
        <w:rPr>
          <w:rFonts w:hint="eastAsia" w:ascii="仿宋" w:hAnsi="仿宋" w:eastAsia="仿宋" w:cs="Times New Roman"/>
          <w:sz w:val="30"/>
          <w:szCs w:val="30"/>
          <w:lang w:val="en-US" w:eastAsia="zh-CN"/>
        </w:rPr>
        <w:t>5.5005</w:t>
      </w:r>
      <w:r>
        <w:rPr>
          <w:rFonts w:hint="eastAsia" w:ascii="仿宋" w:hAnsi="仿宋" w:eastAsia="仿宋" w:cs="Times New Roman"/>
          <w:sz w:val="30"/>
          <w:szCs w:val="30"/>
        </w:rPr>
        <w:t>万元，决算数为</w:t>
      </w:r>
      <w:r>
        <w:rPr>
          <w:rFonts w:hint="eastAsia" w:ascii="仿宋" w:hAnsi="仿宋" w:eastAsia="仿宋" w:cs="Times New Roman"/>
          <w:sz w:val="30"/>
          <w:szCs w:val="30"/>
          <w:lang w:val="en-US" w:eastAsia="zh-CN"/>
        </w:rPr>
        <w:t>5.5005</w:t>
      </w:r>
      <w:r>
        <w:rPr>
          <w:rFonts w:hint="eastAsia" w:ascii="仿宋" w:hAnsi="仿宋" w:eastAsia="仿宋" w:cs="Times New Roman"/>
          <w:sz w:val="30"/>
          <w:szCs w:val="30"/>
        </w:rPr>
        <w:t>万元，完成年初预算的</w:t>
      </w:r>
      <w:r>
        <w:rPr>
          <w:rFonts w:hint="eastAsia" w:ascii="仿宋" w:hAnsi="仿宋" w:eastAsia="仿宋" w:cs="Times New Roman"/>
          <w:sz w:val="30"/>
          <w:szCs w:val="30"/>
          <w:lang w:val="en-US" w:eastAsia="zh-CN"/>
        </w:rPr>
        <w:t>100</w:t>
      </w:r>
      <w:r>
        <w:rPr>
          <w:rFonts w:hint="eastAsia" w:ascii="仿宋" w:hAnsi="仿宋" w:eastAsia="仿宋" w:cs="Times New Roman"/>
          <w:sz w:val="30"/>
          <w:szCs w:val="30"/>
        </w:rPr>
        <w:t>%，决算数较</w:t>
      </w:r>
      <w:r>
        <w:rPr>
          <w:rFonts w:hint="eastAsia" w:ascii="仿宋" w:hAnsi="仿宋" w:eastAsia="仿宋" w:cs="Times New Roman"/>
          <w:sz w:val="30"/>
          <w:szCs w:val="30"/>
          <w:lang w:eastAsia="zh-CN"/>
        </w:rPr>
        <w:t>2020年</w:t>
      </w:r>
      <w:r>
        <w:rPr>
          <w:rFonts w:hint="eastAsia" w:ascii="仿宋" w:hAnsi="仿宋" w:eastAsia="仿宋" w:cs="Times New Roman"/>
          <w:sz w:val="30"/>
          <w:szCs w:val="30"/>
        </w:rPr>
        <w:t>减少</w:t>
      </w:r>
      <w:r>
        <w:rPr>
          <w:rFonts w:hint="eastAsia" w:ascii="仿宋" w:hAnsi="仿宋" w:eastAsia="仿宋" w:cs="Times New Roman"/>
          <w:sz w:val="30"/>
          <w:szCs w:val="30"/>
          <w:lang w:val="en-US" w:eastAsia="zh-CN"/>
        </w:rPr>
        <w:t>4.49万</w:t>
      </w:r>
      <w:r>
        <w:rPr>
          <w:rFonts w:hint="eastAsia" w:ascii="仿宋" w:hAnsi="仿宋" w:eastAsia="仿宋" w:cs="Times New Roman"/>
          <w:sz w:val="30"/>
          <w:szCs w:val="30"/>
        </w:rPr>
        <w:t>元，下降</w:t>
      </w:r>
      <w:r>
        <w:rPr>
          <w:rFonts w:hint="eastAsia" w:ascii="仿宋" w:hAnsi="仿宋" w:eastAsia="仿宋" w:cs="Times New Roman"/>
          <w:sz w:val="30"/>
          <w:szCs w:val="30"/>
          <w:lang w:val="en-US" w:eastAsia="zh-CN"/>
        </w:rPr>
        <w:t>44.80</w:t>
      </w:r>
      <w:r>
        <w:rPr>
          <w:rFonts w:hint="eastAsia" w:ascii="仿宋" w:hAnsi="仿宋" w:eastAsia="仿宋" w:cs="Times New Roman"/>
          <w:sz w:val="30"/>
          <w:szCs w:val="30"/>
        </w:rPr>
        <w:t>%。决算数较年初预算数减少的主要原因是：压缩经费。</w:t>
      </w:r>
      <w:r>
        <w:rPr>
          <w:rFonts w:hint="eastAsia" w:ascii="仿宋" w:hAnsi="仿宋" w:eastAsia="仿宋" w:cs="Times New Roman"/>
          <w:sz w:val="30"/>
          <w:szCs w:val="30"/>
          <w:lang w:eastAsia="zh-CN"/>
        </w:rPr>
        <w:t>年末公务用车保有</w:t>
      </w:r>
      <w:r>
        <w:rPr>
          <w:rFonts w:hint="eastAsia" w:ascii="仿宋" w:hAnsi="仿宋" w:eastAsia="仿宋" w:cs="Times New Roman"/>
          <w:sz w:val="30"/>
          <w:szCs w:val="30"/>
          <w:lang w:val="en-US" w:eastAsia="zh-CN"/>
        </w:rPr>
        <w:t>2辆。</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sz w:val="30"/>
          <w:szCs w:val="30"/>
          <w:lang w:val="en-US" w:eastAsia="zh-CN"/>
        </w:rPr>
      </w:pPr>
      <w:r>
        <w:rPr>
          <w:rFonts w:hint="eastAsia" w:ascii="仿宋" w:hAnsi="仿宋" w:eastAsia="仿宋" w:cs="Times New Roman"/>
          <w:sz w:val="30"/>
          <w:szCs w:val="30"/>
        </w:rPr>
        <w:t>（二）</w:t>
      </w:r>
      <w:r>
        <w:rPr>
          <w:rFonts w:hint="eastAsia" w:ascii="仿宋" w:hAnsi="仿宋" w:eastAsia="仿宋"/>
          <w:sz w:val="30"/>
          <w:szCs w:val="30"/>
        </w:rPr>
        <w:t>公务接待费支出年初预算数为</w:t>
      </w:r>
      <w:r>
        <w:rPr>
          <w:rFonts w:hint="eastAsia" w:ascii="仿宋" w:hAnsi="仿宋" w:eastAsia="仿宋"/>
          <w:sz w:val="30"/>
          <w:szCs w:val="30"/>
          <w:lang w:val="en-US" w:eastAsia="zh-CN"/>
        </w:rPr>
        <w:t>7.737</w:t>
      </w:r>
      <w:r>
        <w:rPr>
          <w:rFonts w:hint="eastAsia" w:ascii="仿宋" w:hAnsi="仿宋" w:eastAsia="仿宋"/>
          <w:sz w:val="30"/>
          <w:szCs w:val="30"/>
        </w:rPr>
        <w:t>万元，决算数为</w:t>
      </w:r>
      <w:r>
        <w:rPr>
          <w:rFonts w:hint="eastAsia" w:ascii="仿宋" w:hAnsi="仿宋" w:eastAsia="仿宋"/>
          <w:sz w:val="30"/>
          <w:szCs w:val="30"/>
          <w:lang w:val="en-US" w:eastAsia="zh-CN"/>
        </w:rPr>
        <w:t>7.737</w:t>
      </w:r>
      <w:r>
        <w:rPr>
          <w:rFonts w:hint="eastAsia" w:ascii="仿宋" w:hAnsi="仿宋" w:eastAsia="仿宋"/>
          <w:sz w:val="30"/>
          <w:szCs w:val="30"/>
        </w:rPr>
        <w:t>万元，完成年初预算的</w:t>
      </w:r>
      <w:r>
        <w:rPr>
          <w:rFonts w:hint="eastAsia" w:ascii="仿宋" w:hAnsi="仿宋" w:eastAsia="仿宋"/>
          <w:sz w:val="30"/>
          <w:szCs w:val="30"/>
          <w:lang w:val="en-US" w:eastAsia="zh-CN"/>
        </w:rPr>
        <w:t>100</w:t>
      </w:r>
      <w:r>
        <w:rPr>
          <w:rFonts w:hint="eastAsia" w:ascii="仿宋" w:hAnsi="仿宋" w:eastAsia="仿宋"/>
          <w:sz w:val="30"/>
          <w:szCs w:val="30"/>
        </w:rPr>
        <w:t>%，决算数较</w:t>
      </w:r>
      <w:r>
        <w:rPr>
          <w:rFonts w:hint="eastAsia" w:ascii="仿宋" w:hAnsi="仿宋" w:eastAsia="仿宋"/>
          <w:sz w:val="30"/>
          <w:szCs w:val="30"/>
          <w:lang w:eastAsia="zh-CN"/>
        </w:rPr>
        <w:t>2020年</w:t>
      </w:r>
      <w:r>
        <w:rPr>
          <w:rFonts w:hint="eastAsia" w:ascii="仿宋" w:hAnsi="仿宋" w:eastAsia="仿宋"/>
          <w:sz w:val="30"/>
          <w:szCs w:val="30"/>
        </w:rPr>
        <w:t>减少</w:t>
      </w:r>
      <w:r>
        <w:rPr>
          <w:rFonts w:hint="eastAsia" w:ascii="仿宋" w:hAnsi="仿宋" w:eastAsia="仿宋"/>
          <w:sz w:val="30"/>
          <w:szCs w:val="30"/>
          <w:lang w:val="en-US" w:eastAsia="zh-CN"/>
        </w:rPr>
        <w:t>7.263</w:t>
      </w:r>
      <w:r>
        <w:rPr>
          <w:rFonts w:hint="eastAsia" w:ascii="仿宋" w:hAnsi="仿宋" w:eastAsia="仿宋"/>
          <w:sz w:val="30"/>
          <w:szCs w:val="30"/>
        </w:rPr>
        <w:t>万元，下降</w:t>
      </w:r>
      <w:r>
        <w:rPr>
          <w:rFonts w:hint="eastAsia" w:ascii="仿宋" w:hAnsi="仿宋" w:eastAsia="仿宋"/>
          <w:sz w:val="30"/>
          <w:szCs w:val="30"/>
          <w:lang w:val="en-US" w:eastAsia="zh-CN"/>
        </w:rPr>
        <w:t>48.42</w:t>
      </w:r>
      <w:r>
        <w:rPr>
          <w:rFonts w:hint="eastAsia" w:ascii="仿宋" w:hAnsi="仿宋" w:eastAsia="仿宋"/>
          <w:sz w:val="30"/>
          <w:szCs w:val="30"/>
        </w:rPr>
        <w:t>%。决算数较年初预算数减少的主要原因是：</w:t>
      </w:r>
      <w:r>
        <w:rPr>
          <w:rFonts w:hint="eastAsia" w:ascii="仿宋" w:hAnsi="仿宋" w:eastAsia="仿宋" w:cs="Times New Roman"/>
          <w:sz w:val="30"/>
          <w:szCs w:val="30"/>
        </w:rPr>
        <w:t>压缩经费</w:t>
      </w:r>
      <w:r>
        <w:rPr>
          <w:rFonts w:hint="eastAsia" w:ascii="仿宋" w:hAnsi="仿宋" w:eastAsia="仿宋"/>
          <w:sz w:val="30"/>
          <w:szCs w:val="30"/>
        </w:rPr>
        <w:t>。</w:t>
      </w:r>
      <w:r>
        <w:rPr>
          <w:rFonts w:hint="eastAsia" w:ascii="仿宋" w:hAnsi="仿宋" w:eastAsia="仿宋"/>
          <w:sz w:val="30"/>
          <w:szCs w:val="30"/>
          <w:lang w:eastAsia="zh-CN"/>
        </w:rPr>
        <w:t>全年国内公务接待</w:t>
      </w:r>
      <w:r>
        <w:rPr>
          <w:rFonts w:hint="eastAsia" w:ascii="仿宋" w:hAnsi="仿宋" w:eastAsia="仿宋"/>
          <w:sz w:val="30"/>
          <w:szCs w:val="30"/>
          <w:lang w:val="en-US" w:eastAsia="zh-CN"/>
        </w:rPr>
        <w:t>105批，累计接待602次，其中外事接待0批，累计接待0人次，主要为：招商引资客商接待、上级部门检查指导工作接待、信访维稳等。</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黑体" w:hAnsi="黑体" w:eastAsia="黑体" w:cs="Times New Roman"/>
          <w:sz w:val="30"/>
          <w:szCs w:val="30"/>
        </w:rPr>
      </w:pPr>
      <w:r>
        <w:rPr>
          <w:rFonts w:hint="eastAsia" w:ascii="黑体" w:hAnsi="黑体" w:eastAsia="黑体" w:cs="Times New Roman"/>
          <w:sz w:val="30"/>
          <w:szCs w:val="30"/>
        </w:rPr>
        <w:t>六、机关运行经费支出情况说明</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本部门</w:t>
      </w:r>
      <w:r>
        <w:rPr>
          <w:rFonts w:hint="eastAsia" w:ascii="仿宋" w:hAnsi="仿宋" w:eastAsia="仿宋" w:cs="Times New Roman"/>
          <w:sz w:val="30"/>
          <w:szCs w:val="30"/>
          <w:lang w:eastAsia="zh-CN"/>
        </w:rPr>
        <w:t>2021年度</w:t>
      </w:r>
      <w:r>
        <w:rPr>
          <w:rFonts w:hint="eastAsia" w:ascii="仿宋" w:hAnsi="仿宋" w:eastAsia="仿宋" w:cs="Times New Roman"/>
          <w:sz w:val="30"/>
          <w:szCs w:val="30"/>
        </w:rPr>
        <w:t>机关运行经费支出601</w:t>
      </w:r>
      <w:r>
        <w:rPr>
          <w:rFonts w:hint="eastAsia" w:ascii="仿宋" w:hAnsi="仿宋" w:eastAsia="仿宋" w:cs="Times New Roman"/>
          <w:sz w:val="30"/>
          <w:szCs w:val="30"/>
          <w:lang w:val="en-US" w:eastAsia="zh-CN"/>
        </w:rPr>
        <w:t>.</w:t>
      </w:r>
      <w:r>
        <w:rPr>
          <w:rFonts w:hint="eastAsia" w:ascii="仿宋" w:hAnsi="仿宋" w:eastAsia="仿宋" w:cs="Times New Roman"/>
          <w:sz w:val="30"/>
          <w:szCs w:val="30"/>
        </w:rPr>
        <w:t>42612万元（与部门决算中行政单位和参照公务员法管理事业单位一般公共预算财政拨款基本支出中公用经费之和保持一致），较年初预算数增加</w:t>
      </w:r>
      <w:r>
        <w:rPr>
          <w:rFonts w:hint="eastAsia" w:ascii="仿宋" w:hAnsi="仿宋" w:eastAsia="仿宋" w:cs="Times New Roman"/>
          <w:sz w:val="30"/>
          <w:szCs w:val="30"/>
          <w:lang w:val="en-US" w:eastAsia="zh-CN"/>
        </w:rPr>
        <w:t>415.156</w:t>
      </w:r>
      <w:r>
        <w:rPr>
          <w:rFonts w:hint="eastAsia" w:ascii="仿宋" w:hAnsi="仿宋" w:eastAsia="仿宋" w:cs="Times New Roman"/>
          <w:sz w:val="30"/>
          <w:szCs w:val="30"/>
        </w:rPr>
        <w:t>万元，增加</w:t>
      </w:r>
      <w:r>
        <w:rPr>
          <w:rFonts w:hint="eastAsia" w:ascii="仿宋" w:hAnsi="仿宋" w:eastAsia="仿宋" w:cs="Times New Roman"/>
          <w:sz w:val="30"/>
          <w:szCs w:val="30"/>
          <w:lang w:val="en-US" w:eastAsia="zh-CN"/>
        </w:rPr>
        <w:t>69.07</w:t>
      </w:r>
      <w:r>
        <w:rPr>
          <w:rFonts w:hint="eastAsia" w:ascii="仿宋" w:hAnsi="仿宋" w:eastAsia="仿宋" w:cs="Times New Roman"/>
          <w:sz w:val="30"/>
          <w:szCs w:val="30"/>
        </w:rPr>
        <w:t>%，主要原因是：人员经费的增加。</w:t>
      </w:r>
    </w:p>
    <w:p>
      <w:pPr>
        <w:pStyle w:val="5"/>
        <w:keepNext w:val="0"/>
        <w:keepLines w:val="0"/>
        <w:pageBreakBefore w:val="0"/>
        <w:widowControl/>
        <w:shd w:val="clear" w:color="auto" w:fill="FFFFFF"/>
        <w:kinsoku/>
        <w:wordWrap/>
        <w:overflowPunct/>
        <w:topLinePunct w:val="0"/>
        <w:autoSpaceDE/>
        <w:autoSpaceDN/>
        <w:bidi w:val="0"/>
        <w:spacing w:before="225" w:beforeAutospacing="0" w:after="225" w:afterAutospacing="0" w:line="560" w:lineRule="exact"/>
        <w:ind w:left="0" w:leftChars="0" w:firstLine="600" w:firstLineChars="200"/>
        <w:jc w:val="left"/>
        <w:textAlignment w:val="auto"/>
        <w:outlineLvl w:val="9"/>
        <w:rPr>
          <w:rFonts w:ascii="微软雅黑" w:hAnsi="微软雅黑" w:eastAsia="微软雅黑"/>
          <w:color w:val="333333"/>
          <w:sz w:val="27"/>
          <w:szCs w:val="27"/>
        </w:rPr>
      </w:pPr>
      <w:r>
        <w:rPr>
          <w:rFonts w:hint="eastAsia" w:ascii="黑体" w:hAnsi="黑体" w:eastAsia="黑体"/>
          <w:color w:val="333333"/>
          <w:sz w:val="30"/>
          <w:szCs w:val="30"/>
        </w:rPr>
        <w:t>七、政府采购支出情况说明</w:t>
      </w:r>
    </w:p>
    <w:p>
      <w:pPr>
        <w:pStyle w:val="12"/>
        <w:keepNext w:val="0"/>
        <w:keepLines w:val="0"/>
        <w:pageBreakBefore w:val="0"/>
        <w:widowControl/>
        <w:shd w:val="clear" w:color="auto" w:fill="FFFFFF"/>
        <w:kinsoku/>
        <w:wordWrap/>
        <w:overflowPunct/>
        <w:topLinePunct w:val="0"/>
        <w:autoSpaceDE/>
        <w:autoSpaceDN/>
        <w:bidi w:val="0"/>
        <w:spacing w:before="225" w:beforeAutospacing="0" w:after="225" w:afterAutospacing="0"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本部门</w:t>
      </w:r>
      <w:r>
        <w:rPr>
          <w:rFonts w:hint="eastAsia" w:ascii="仿宋" w:hAnsi="仿宋" w:eastAsia="仿宋" w:cs="Times New Roman"/>
          <w:sz w:val="30"/>
          <w:szCs w:val="30"/>
          <w:lang w:eastAsia="zh-CN"/>
        </w:rPr>
        <w:t>2021年度</w:t>
      </w:r>
      <w:r>
        <w:rPr>
          <w:rFonts w:hint="eastAsia" w:ascii="仿宋" w:hAnsi="仿宋" w:eastAsia="仿宋" w:cs="Times New Roman"/>
          <w:sz w:val="30"/>
          <w:szCs w:val="30"/>
        </w:rPr>
        <w:t>政府采购支出总额 0 万元，其中：政府采购货物支出 0 万元、政府采购工程支出 0 万元、政府采购服务支出 0 万元。授予中小企业合同金额 0 万元，占政府采购支出总额的 0 %，其中：授予小微企业合同金额 0 万元，占政府采购支出总额的 0 %。（省级部门公开的政府采购金额的计算口径为：本部门纳入</w:t>
      </w:r>
      <w:r>
        <w:rPr>
          <w:rFonts w:hint="eastAsia" w:ascii="仿宋" w:hAnsi="仿宋" w:eastAsia="仿宋" w:cs="Times New Roman"/>
          <w:sz w:val="30"/>
          <w:szCs w:val="30"/>
          <w:lang w:eastAsia="zh-CN"/>
        </w:rPr>
        <w:t>202</w:t>
      </w:r>
      <w:r>
        <w:rPr>
          <w:rFonts w:hint="eastAsia" w:ascii="仿宋" w:hAnsi="仿宋" w:eastAsia="仿宋" w:cs="Times New Roman"/>
          <w:sz w:val="30"/>
          <w:szCs w:val="30"/>
          <w:lang w:val="en-US" w:eastAsia="zh-CN"/>
        </w:rPr>
        <w:t>1</w:t>
      </w:r>
      <w:r>
        <w:rPr>
          <w:rFonts w:hint="eastAsia" w:ascii="仿宋" w:hAnsi="仿宋" w:eastAsia="仿宋" w:cs="Times New Roman"/>
          <w:sz w:val="30"/>
          <w:szCs w:val="30"/>
          <w:lang w:eastAsia="zh-CN"/>
        </w:rPr>
        <w:t>年</w:t>
      </w:r>
      <w:r>
        <w:rPr>
          <w:rFonts w:hint="eastAsia" w:ascii="仿宋" w:hAnsi="仿宋" w:eastAsia="仿宋" w:cs="Times New Roman"/>
          <w:sz w:val="30"/>
          <w:szCs w:val="30"/>
        </w:rPr>
        <w:t>部门预算范围的各项政府采购支出金额之和，不包括涉密采购项目的支出金额。）</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黑体" w:hAnsi="黑体" w:eastAsia="黑体" w:cs="Times New Roman"/>
          <w:sz w:val="30"/>
          <w:szCs w:val="30"/>
        </w:rPr>
      </w:pPr>
      <w:r>
        <w:rPr>
          <w:rFonts w:hint="eastAsia" w:ascii="黑体" w:hAnsi="黑体" w:eastAsia="黑体" w:cs="Times New Roman"/>
          <w:sz w:val="30"/>
          <w:szCs w:val="30"/>
        </w:rPr>
        <w:t>八、国有资产占用情况说明。</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ascii="仿宋" w:hAnsi="仿宋" w:eastAsia="仿宋" w:cs="Times New Roman"/>
          <w:sz w:val="30"/>
          <w:szCs w:val="30"/>
        </w:rPr>
      </w:pPr>
      <w:r>
        <w:rPr>
          <w:rFonts w:hint="eastAsia" w:ascii="仿宋" w:hAnsi="仿宋" w:eastAsia="仿宋" w:cs="Times New Roman"/>
          <w:sz w:val="30"/>
          <w:szCs w:val="30"/>
        </w:rPr>
        <w:t>截止</w:t>
      </w:r>
      <w:r>
        <w:rPr>
          <w:rFonts w:hint="eastAsia" w:ascii="仿宋" w:hAnsi="仿宋" w:eastAsia="仿宋" w:cs="Times New Roman"/>
          <w:sz w:val="30"/>
          <w:szCs w:val="30"/>
          <w:lang w:eastAsia="zh-CN"/>
        </w:rPr>
        <w:t>2021年</w:t>
      </w:r>
      <w:r>
        <w:rPr>
          <w:rFonts w:hint="eastAsia" w:ascii="仿宋" w:hAnsi="仿宋" w:eastAsia="仿宋" w:cs="Times New Roman"/>
          <w:sz w:val="30"/>
          <w:szCs w:val="30"/>
        </w:rPr>
        <w:t>12月31日，本部门国有资产占用情况见公开</w:t>
      </w:r>
      <w:r>
        <w:rPr>
          <w:rFonts w:hint="eastAsia" w:ascii="仿宋" w:hAnsi="仿宋" w:eastAsia="仿宋" w:cs="Times New Roman"/>
          <w:sz w:val="30"/>
          <w:szCs w:val="30"/>
          <w:lang w:val="en-US" w:eastAsia="zh-CN"/>
        </w:rPr>
        <w:t>10</w:t>
      </w:r>
      <w:r>
        <w:rPr>
          <w:rFonts w:hint="eastAsia" w:ascii="仿宋" w:hAnsi="仿宋" w:eastAsia="仿宋" w:cs="Times New Roman"/>
          <w:sz w:val="30"/>
          <w:szCs w:val="30"/>
        </w:rPr>
        <w:t>表《国有资产占用情况表》。其中车辆中的其他用车主要是主要领导干部用车。</w:t>
      </w:r>
    </w:p>
    <w:p>
      <w:pPr>
        <w:pStyle w:val="5"/>
        <w:keepNext w:val="0"/>
        <w:keepLines w:val="0"/>
        <w:pageBreakBefore w:val="0"/>
        <w:widowControl/>
        <w:shd w:val="clear" w:color="auto" w:fill="FFFFFF"/>
        <w:kinsoku/>
        <w:wordWrap/>
        <w:overflowPunct/>
        <w:topLinePunct w:val="0"/>
        <w:autoSpaceDE/>
        <w:autoSpaceDN/>
        <w:bidi w:val="0"/>
        <w:spacing w:before="225" w:beforeAutospacing="0" w:after="225" w:afterAutospacing="0" w:line="560" w:lineRule="exact"/>
        <w:ind w:left="0" w:leftChars="0" w:firstLine="600" w:firstLineChars="200"/>
        <w:jc w:val="left"/>
        <w:textAlignment w:val="auto"/>
        <w:outlineLvl w:val="9"/>
        <w:rPr>
          <w:rFonts w:ascii="微软雅黑" w:hAnsi="微软雅黑" w:eastAsia="微软雅黑"/>
          <w:color w:val="333333"/>
          <w:sz w:val="27"/>
          <w:szCs w:val="27"/>
        </w:rPr>
      </w:pPr>
      <w:r>
        <w:rPr>
          <w:rFonts w:hint="eastAsia" w:ascii="黑体" w:hAnsi="黑体" w:eastAsia="黑体"/>
          <w:color w:val="333333"/>
          <w:sz w:val="30"/>
          <w:szCs w:val="30"/>
        </w:rPr>
        <w:t>九、预算绩效情况说明</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sz w:val="30"/>
          <w:szCs w:val="30"/>
          <w:lang w:eastAsia="zh-CN"/>
        </w:rPr>
      </w:pPr>
      <w:r>
        <w:rPr>
          <w:rFonts w:hint="eastAsia" w:ascii="仿宋" w:hAnsi="仿宋" w:eastAsia="仿宋" w:cs="仿宋_GB2312"/>
          <w:kern w:val="0"/>
          <w:sz w:val="30"/>
          <w:szCs w:val="30"/>
        </w:rPr>
        <w:t>（一）绩效管理工作开展</w:t>
      </w:r>
      <w:r>
        <w:rPr>
          <w:rFonts w:hint="eastAsia" w:ascii="仿宋" w:hAnsi="仿宋" w:eastAsia="仿宋"/>
          <w:sz w:val="30"/>
          <w:szCs w:val="30"/>
        </w:rPr>
        <w:t>情况</w:t>
      </w:r>
      <w:r>
        <w:rPr>
          <w:rFonts w:hint="eastAsia" w:ascii="仿宋" w:hAnsi="仿宋" w:eastAsia="仿宋"/>
          <w:sz w:val="30"/>
          <w:szCs w:val="30"/>
          <w:lang w:eastAsia="zh-CN"/>
        </w:rPr>
        <w:t>。</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lang w:val="en-US" w:eastAsia="zh-CN"/>
        </w:rPr>
        <w:t>根</w:t>
      </w:r>
      <w:r>
        <w:rPr>
          <w:rFonts w:hint="eastAsia" w:ascii="仿宋" w:hAnsi="仿宋" w:eastAsia="仿宋" w:cs="仿宋_GB2312"/>
          <w:kern w:val="0"/>
          <w:sz w:val="30"/>
          <w:szCs w:val="30"/>
        </w:rPr>
        <w:t>据预算绩效管理要求，我部门组织对2021年度一般公共预算项目支出所有二级项目1</w:t>
      </w:r>
      <w:r>
        <w:rPr>
          <w:rFonts w:hint="eastAsia" w:ascii="仿宋" w:hAnsi="仿宋" w:eastAsia="仿宋" w:cs="仿宋_GB2312"/>
          <w:kern w:val="0"/>
          <w:sz w:val="30"/>
          <w:szCs w:val="30"/>
          <w:lang w:val="en-US" w:eastAsia="zh-CN"/>
        </w:rPr>
        <w:t>3</w:t>
      </w:r>
      <w:r>
        <w:rPr>
          <w:rFonts w:hint="eastAsia" w:ascii="仿宋" w:hAnsi="仿宋" w:eastAsia="仿宋" w:cs="仿宋_GB2312"/>
          <w:kern w:val="0"/>
          <w:sz w:val="30"/>
          <w:szCs w:val="30"/>
        </w:rPr>
        <w:t>个全面开展绩效自评，共涉及资金1</w:t>
      </w:r>
      <w:r>
        <w:rPr>
          <w:rFonts w:hint="eastAsia" w:ascii="仿宋" w:hAnsi="仿宋" w:eastAsia="仿宋" w:cs="仿宋_GB2312"/>
          <w:kern w:val="0"/>
          <w:sz w:val="30"/>
          <w:szCs w:val="30"/>
          <w:lang w:val="en-US" w:eastAsia="zh-CN"/>
        </w:rPr>
        <w:t>722.91</w:t>
      </w:r>
      <w:r>
        <w:rPr>
          <w:rFonts w:hint="eastAsia" w:ascii="仿宋" w:hAnsi="仿宋" w:eastAsia="仿宋" w:cs="仿宋_GB2312"/>
          <w:kern w:val="0"/>
          <w:sz w:val="30"/>
          <w:szCs w:val="30"/>
        </w:rPr>
        <w:t>万元，占一般公共预算项目支出总额的100%。    </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组织对“</w:t>
      </w:r>
      <w:r>
        <w:rPr>
          <w:rFonts w:hint="eastAsia" w:ascii="仿宋" w:hAnsi="仿宋" w:eastAsia="仿宋" w:cs="仿宋_GB2312"/>
          <w:kern w:val="0"/>
          <w:sz w:val="30"/>
          <w:szCs w:val="30"/>
          <w:lang w:val="en-US" w:eastAsia="zh-CN"/>
        </w:rPr>
        <w:t>东韶</w:t>
      </w:r>
      <w:r>
        <w:rPr>
          <w:rFonts w:hint="eastAsia" w:ascii="仿宋" w:hAnsi="仿宋" w:eastAsia="仿宋" w:cs="仿宋_GB2312"/>
          <w:kern w:val="0"/>
          <w:sz w:val="30"/>
          <w:szCs w:val="30"/>
        </w:rPr>
        <w:t>村</w:t>
      </w:r>
      <w:r>
        <w:rPr>
          <w:rFonts w:hint="eastAsia" w:ascii="仿宋" w:hAnsi="仿宋" w:eastAsia="仿宋" w:cs="仿宋_GB2312"/>
          <w:kern w:val="0"/>
          <w:sz w:val="30"/>
          <w:szCs w:val="30"/>
          <w:lang w:val="en-US" w:eastAsia="zh-CN"/>
        </w:rPr>
        <w:t>示范点</w:t>
      </w:r>
      <w:r>
        <w:rPr>
          <w:rFonts w:hint="eastAsia" w:ascii="仿宋" w:hAnsi="仿宋" w:eastAsia="仿宋" w:cs="仿宋_GB2312"/>
          <w:kern w:val="0"/>
          <w:sz w:val="30"/>
          <w:szCs w:val="30"/>
        </w:rPr>
        <w:t>提升项目”等1个项目开展了部门评价，涉及一般公共预算支出</w:t>
      </w:r>
      <w:r>
        <w:rPr>
          <w:rFonts w:hint="eastAsia" w:ascii="仿宋" w:hAnsi="仿宋" w:eastAsia="仿宋" w:cs="仿宋_GB2312"/>
          <w:kern w:val="0"/>
          <w:sz w:val="30"/>
          <w:szCs w:val="30"/>
          <w:lang w:val="en-US" w:eastAsia="zh-CN"/>
        </w:rPr>
        <w:t>170</w:t>
      </w:r>
      <w:r>
        <w:rPr>
          <w:rFonts w:hint="eastAsia" w:ascii="仿宋" w:hAnsi="仿宋" w:eastAsia="仿宋" w:cs="仿宋_GB2312"/>
          <w:kern w:val="0"/>
          <w:sz w:val="30"/>
          <w:szCs w:val="30"/>
        </w:rPr>
        <w:t>万元，政府性基金预算支出 0万元。其中，对政府性基金预算等项目没有委托第三方机构开展绩效评价。从评价情况来看，项目建设基本达到年初设定绩效目标。</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组织对“</w:t>
      </w:r>
      <w:r>
        <w:rPr>
          <w:rFonts w:hint="eastAsia" w:ascii="仿宋" w:hAnsi="仿宋" w:eastAsia="仿宋" w:cs="仿宋_GB2312"/>
          <w:kern w:val="0"/>
          <w:sz w:val="30"/>
          <w:szCs w:val="30"/>
          <w:lang w:eastAsia="zh-CN"/>
        </w:rPr>
        <w:t>社富乡</w:t>
      </w:r>
      <w:r>
        <w:rPr>
          <w:rFonts w:hint="eastAsia" w:ascii="仿宋" w:hAnsi="仿宋" w:eastAsia="仿宋" w:cs="仿宋_GB2312"/>
          <w:kern w:val="0"/>
          <w:sz w:val="30"/>
          <w:szCs w:val="30"/>
        </w:rPr>
        <w:t>人民政府”1个单位开展整体支出绩效评价试点，涉及一般公共预算支出5373.84万元，政府性基金预算支出265.53万元。对政府性基金预算等项目没有委托第三方机构开展绩效评价。从评价情况来看，单位建设基本达到年初设定绩效目标。</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（二）部门决算中项目绩效自评情况。</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我部门今年在部门决算中反映“</w:t>
      </w:r>
      <w:r>
        <w:rPr>
          <w:rFonts w:hint="eastAsia" w:ascii="仿宋" w:hAnsi="仿宋" w:eastAsia="仿宋" w:cs="仿宋_GB2312"/>
          <w:kern w:val="0"/>
          <w:sz w:val="30"/>
          <w:szCs w:val="30"/>
          <w:lang w:val="en-US" w:eastAsia="zh-CN"/>
        </w:rPr>
        <w:t>东韶</w:t>
      </w:r>
      <w:r>
        <w:rPr>
          <w:rFonts w:hint="eastAsia" w:ascii="仿宋" w:hAnsi="仿宋" w:eastAsia="仿宋" w:cs="仿宋_GB2312"/>
          <w:kern w:val="0"/>
          <w:sz w:val="30"/>
          <w:szCs w:val="30"/>
        </w:rPr>
        <w:t>村</w:t>
      </w:r>
      <w:r>
        <w:rPr>
          <w:rFonts w:hint="eastAsia" w:ascii="仿宋" w:hAnsi="仿宋" w:eastAsia="仿宋" w:cs="仿宋_GB2312"/>
          <w:kern w:val="0"/>
          <w:sz w:val="30"/>
          <w:szCs w:val="30"/>
          <w:lang w:val="en-US" w:eastAsia="zh-CN"/>
        </w:rPr>
        <w:t>示范点</w:t>
      </w:r>
      <w:r>
        <w:rPr>
          <w:rFonts w:hint="eastAsia" w:ascii="仿宋" w:hAnsi="仿宋" w:eastAsia="仿宋" w:cs="仿宋_GB2312"/>
          <w:kern w:val="0"/>
          <w:sz w:val="30"/>
          <w:szCs w:val="30"/>
        </w:rPr>
        <w:t>提升项目”项目绩效自评结果。</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项目绩效自评总体综述：根据年初设定的绩效目标，项目整体支出绩效自评得分为9</w:t>
      </w:r>
      <w:r>
        <w:rPr>
          <w:rFonts w:hint="eastAsia" w:ascii="仿宋" w:hAnsi="仿宋" w:eastAsia="仿宋" w:cs="仿宋_GB2312"/>
          <w:kern w:val="0"/>
          <w:sz w:val="30"/>
          <w:szCs w:val="30"/>
          <w:lang w:val="en-US" w:eastAsia="zh-CN"/>
        </w:rPr>
        <w:t>1</w:t>
      </w:r>
      <w:r>
        <w:rPr>
          <w:rFonts w:hint="eastAsia" w:ascii="仿宋" w:hAnsi="仿宋" w:eastAsia="仿宋" w:cs="仿宋_GB2312"/>
          <w:kern w:val="0"/>
          <w:sz w:val="30"/>
          <w:szCs w:val="30"/>
        </w:rPr>
        <w:t>分。项目全年预算数为</w:t>
      </w:r>
      <w:r>
        <w:rPr>
          <w:rFonts w:hint="eastAsia" w:ascii="仿宋" w:hAnsi="仿宋" w:eastAsia="仿宋" w:cs="仿宋_GB2312"/>
          <w:kern w:val="0"/>
          <w:sz w:val="30"/>
          <w:szCs w:val="30"/>
          <w:lang w:val="en-US" w:eastAsia="zh-CN"/>
        </w:rPr>
        <w:t>170</w:t>
      </w:r>
      <w:r>
        <w:rPr>
          <w:rFonts w:hint="eastAsia" w:ascii="仿宋" w:hAnsi="仿宋" w:eastAsia="仿宋" w:cs="仿宋_GB2312"/>
          <w:kern w:val="0"/>
          <w:sz w:val="30"/>
          <w:szCs w:val="30"/>
        </w:rPr>
        <w:t>万元，执行数为</w:t>
      </w:r>
      <w:r>
        <w:rPr>
          <w:rFonts w:hint="eastAsia" w:ascii="仿宋" w:hAnsi="仿宋" w:eastAsia="仿宋" w:cs="仿宋_GB2312"/>
          <w:kern w:val="0"/>
          <w:sz w:val="30"/>
          <w:szCs w:val="30"/>
          <w:lang w:val="en-US" w:eastAsia="zh-CN"/>
        </w:rPr>
        <w:t>165.98</w:t>
      </w:r>
      <w:r>
        <w:rPr>
          <w:rFonts w:hint="eastAsia" w:ascii="仿宋" w:hAnsi="仿宋" w:eastAsia="仿宋" w:cs="仿宋_GB2312"/>
          <w:kern w:val="0"/>
          <w:sz w:val="30"/>
          <w:szCs w:val="30"/>
        </w:rPr>
        <w:t>万元，完成预算的</w:t>
      </w:r>
      <w:r>
        <w:rPr>
          <w:rFonts w:hint="eastAsia" w:ascii="仿宋" w:hAnsi="仿宋" w:eastAsia="仿宋" w:cs="仿宋_GB2312"/>
          <w:kern w:val="0"/>
          <w:sz w:val="30"/>
          <w:szCs w:val="30"/>
          <w:lang w:val="en-US" w:eastAsia="zh-CN"/>
        </w:rPr>
        <w:t>97.6</w:t>
      </w:r>
      <w:r>
        <w:rPr>
          <w:rFonts w:hint="eastAsia" w:ascii="仿宋" w:hAnsi="仿宋" w:eastAsia="仿宋" w:cs="仿宋_GB2312"/>
          <w:kern w:val="0"/>
          <w:sz w:val="30"/>
          <w:szCs w:val="30"/>
        </w:rPr>
        <w:t>%。项目绩效目标完成情况：一是项目质量目标完成较好；二是群众满意度较高。发现的问题及原因：一是绩效评价在目标设定上过于简单；二是绩效评价的内容上还有待于进一步完善。下一步改进措施：一是绩效评价要确定科学完善的评价原则；二是绩效评价方法上要注意适当性、可操作性。</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（三）部门评价项目绩效评价情况。</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lang w:eastAsia="zh-CN"/>
        </w:rPr>
        <w:t>社富乡</w:t>
      </w:r>
      <w:r>
        <w:rPr>
          <w:rFonts w:hint="eastAsia" w:ascii="仿宋" w:hAnsi="仿宋" w:eastAsia="仿宋" w:cs="仿宋_GB2312"/>
          <w:kern w:val="0"/>
          <w:sz w:val="30"/>
          <w:szCs w:val="30"/>
        </w:rPr>
        <w:t>人民政府部门整体支出评价报告已向社会公开，报告框架参考《项目支出绩效评价办法》（财预〔2020〕10号）中《项目支出绩效评价报告（参考提纲）》。</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p>
    <w:p>
      <w:pPr>
        <w:keepNext w:val="0"/>
        <w:keepLines w:val="0"/>
        <w:pageBreakBefore w:val="0"/>
        <w:widowControl/>
        <w:kinsoku/>
        <w:wordWrap/>
        <w:overflowPunct/>
        <w:topLinePunct w:val="0"/>
        <w:autoSpaceDE/>
        <w:autoSpaceDN/>
        <w:bidi w:val="0"/>
        <w:spacing w:line="560" w:lineRule="exact"/>
        <w:jc w:val="center"/>
        <w:textAlignment w:val="auto"/>
        <w:outlineLvl w:val="9"/>
        <w:rPr>
          <w:rFonts w:hint="eastAsia" w:ascii="仿宋" w:hAnsi="仿宋" w:eastAsia="仿宋" w:cs="仿宋_GB2312"/>
          <w:kern w:val="0"/>
          <w:sz w:val="30"/>
          <w:szCs w:val="30"/>
        </w:rPr>
      </w:pPr>
      <w:r>
        <w:rPr>
          <w:rFonts w:hint="eastAsia" w:ascii="黑体" w:eastAsia="黑体" w:cs="Times New Roman"/>
          <w:sz w:val="44"/>
          <w:szCs w:val="36"/>
          <w:lang w:eastAsia="zh-CN"/>
        </w:rPr>
        <w:t>兴国县社富乡人民政府2021年度部门整体支出绩效自评报告</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 </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 </w:t>
      </w:r>
      <w:r>
        <w:rPr>
          <w:rFonts w:hint="eastAsia" w:ascii="黑体" w:hAnsi="黑体" w:eastAsia="黑体" w:cs="Times New Roman"/>
          <w:sz w:val="30"/>
          <w:szCs w:val="30"/>
        </w:rPr>
        <w:t>一、部门概况</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 （一）部门基本情况</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1.部门组织机构及人员： </w:t>
      </w:r>
      <w:r>
        <w:rPr>
          <w:rFonts w:hint="eastAsia" w:ascii="仿宋" w:hAnsi="仿宋" w:eastAsia="仿宋" w:cs="仿宋_GB2312"/>
          <w:kern w:val="0"/>
          <w:sz w:val="30"/>
          <w:szCs w:val="30"/>
          <w:lang w:eastAsia="zh-CN"/>
        </w:rPr>
        <w:t>社富乡</w:t>
      </w:r>
      <w:r>
        <w:rPr>
          <w:rFonts w:hint="eastAsia" w:ascii="仿宋" w:hAnsi="仿宋" w:eastAsia="仿宋" w:cs="仿宋_GB2312"/>
          <w:kern w:val="0"/>
          <w:sz w:val="30"/>
          <w:szCs w:val="30"/>
        </w:rPr>
        <w:t>人民政府内设4个党政机构，包括党政办公室（社会治理办公室）、党建办公室、财政经济和乡村振兴办公室、社会事务办公室。与三定方案相符，无违规滥设机构行为。本单位编制总人数为</w:t>
      </w:r>
      <w:r>
        <w:rPr>
          <w:rFonts w:hint="eastAsia" w:ascii="仿宋" w:hAnsi="仿宋" w:eastAsia="仿宋" w:cs="仿宋_GB2312"/>
          <w:kern w:val="0"/>
          <w:sz w:val="30"/>
          <w:szCs w:val="30"/>
          <w:lang w:val="en-US" w:eastAsia="zh-CN"/>
        </w:rPr>
        <w:t>55</w:t>
      </w:r>
      <w:r>
        <w:rPr>
          <w:rFonts w:hint="eastAsia" w:ascii="仿宋" w:hAnsi="仿宋" w:eastAsia="仿宋" w:cs="仿宋_GB2312"/>
          <w:kern w:val="0"/>
          <w:sz w:val="30"/>
          <w:szCs w:val="30"/>
        </w:rPr>
        <w:t>人，2021年在岗人员</w:t>
      </w:r>
      <w:r>
        <w:rPr>
          <w:rFonts w:hint="eastAsia" w:ascii="仿宋" w:hAnsi="仿宋" w:eastAsia="仿宋" w:cs="仿宋_GB2312"/>
          <w:kern w:val="0"/>
          <w:sz w:val="30"/>
          <w:szCs w:val="30"/>
          <w:lang w:val="en-US" w:eastAsia="zh-CN"/>
        </w:rPr>
        <w:t>55</w:t>
      </w:r>
      <w:r>
        <w:rPr>
          <w:rFonts w:hint="eastAsia" w:ascii="仿宋" w:hAnsi="仿宋" w:eastAsia="仿宋" w:cs="仿宋_GB2312"/>
          <w:kern w:val="0"/>
          <w:sz w:val="30"/>
          <w:szCs w:val="30"/>
        </w:rPr>
        <w:t>人，离退休人员0人。</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2.部门职能概述：</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(1)认真贯彻党的路线、方针、政策，执行本级人民代表大会的决议和上级国家行政机关的决定和命令，发布决定和命令。</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(2)执行本行政区域内的经济和社会发展计划、预算，管理本行政区域内的经济、教育、科学、文化、卫生、交通、水利、环境保护、招商引资、林业、就业、扶贫、体育事业、财政、民政、安全、司法行政、计划生育等行政工作。</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(3)维护社会秩序，保障公民的人身权利、民主权利和其他权利。</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(4)保护各种经济组织的合法权益。</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(5)指导村委会工作，认真做好接待群众的来信、来访工作，听取群众意见，解决困难，处理矛盾，办好群众的事。</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(6)承办县人民政府交办的其他事项。</w:t>
      </w:r>
    </w:p>
    <w:p>
      <w:pPr>
        <w:keepNext w:val="0"/>
        <w:keepLines w:val="0"/>
        <w:pageBreakBefore w:val="0"/>
        <w:widowControl/>
        <w:kinsoku/>
        <w:wordWrap/>
        <w:overflowPunct/>
        <w:topLinePunct w:val="0"/>
        <w:autoSpaceDE/>
        <w:autoSpaceDN/>
        <w:bidi w:val="0"/>
        <w:spacing w:line="560" w:lineRule="exact"/>
        <w:ind w:firstLine="600" w:firstLineChars="200"/>
        <w:jc w:val="left"/>
        <w:textAlignment w:val="auto"/>
        <w:outlineLvl w:val="9"/>
        <w:rPr>
          <w:rFonts w:hint="eastAsia" w:ascii="仿宋" w:hAnsi="仿宋" w:eastAsia="仿宋" w:cs="仿宋_GB2312"/>
          <w:kern w:val="0"/>
          <w:sz w:val="30"/>
          <w:szCs w:val="30"/>
        </w:rPr>
      </w:pPr>
      <w:bookmarkStart w:id="0" w:name="_GoBack"/>
      <w:bookmarkEnd w:id="0"/>
      <w:r>
        <w:rPr>
          <w:rFonts w:hint="eastAsia" w:ascii="仿宋" w:hAnsi="仿宋" w:eastAsia="仿宋" w:cs="仿宋_GB2312"/>
          <w:kern w:val="0"/>
          <w:sz w:val="30"/>
          <w:szCs w:val="30"/>
        </w:rPr>
        <w:t>（二）部门内部管理情况</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日常管理：根据绩效评价的要求，我们成立了绩效评价工作领导小组，对照自评方案进行研究和部署，党政领导及各部门全程参与，按照自评方案的要求，对照各实施项目的内容逐条逐项自评。在自评过程发现问题，查找原因，及时纠正偏差，促进绩效管理常态化。</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财务管理：严格落实《预算法》及省、市、县绩效管理工作的有关规定，进一步规范财政资金的管理，强化财政支出绩效理念，提升部门责任意识，提高资金使用效益，促进司法行政工作的发展。</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 预决算公开：按照县财政局的要求，我乡在兴国县人民政府网站上进行了每年的预决算的公开。</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 资产管理：我乡对本单位的财务情况及固定资产情况等进行了全面清理和核查，并根据资产清查发现和暴露的问题，全面总结经验，认真分析原因，研究制定切实可行的措施和办法，建立健全了资产管理制度。</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 档案管理：根据《会计法》、《行政事业单位财务管理制度》等有关规定，结合项目建设特点，制定《项目资金使用和管理制度》，加强项目建设管理，完善财务管理体系，保证了会计资料真实、完整。</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lang w:eastAsia="zh-CN"/>
        </w:rPr>
      </w:pPr>
      <w:r>
        <w:rPr>
          <w:rFonts w:hint="eastAsia" w:ascii="仿宋" w:hAnsi="仿宋" w:eastAsia="仿宋" w:cs="仿宋_GB2312"/>
          <w:kern w:val="0"/>
          <w:sz w:val="30"/>
          <w:szCs w:val="30"/>
        </w:rPr>
        <w:t> 风险控制：正确实施财务管理方法，既参阅健全核算体系，做好预算、成本控制、决算工作，又由乡领导班子成员监督资金正常运行，维护资金安全，努力提高资金使用效率，更按时编制财务会计报表，增加了会计信息的及时性、准确性和完整性</w:t>
      </w:r>
      <w:r>
        <w:rPr>
          <w:rFonts w:hint="eastAsia" w:ascii="仿宋" w:hAnsi="仿宋" w:eastAsia="仿宋" w:cs="仿宋_GB2312"/>
          <w:kern w:val="0"/>
          <w:sz w:val="30"/>
          <w:szCs w:val="30"/>
          <w:lang w:eastAsia="zh-CN"/>
        </w:rPr>
        <w:t>。</w:t>
      </w:r>
    </w:p>
    <w:p>
      <w:pPr>
        <w:keepNext w:val="0"/>
        <w:keepLines w:val="0"/>
        <w:pageBreakBefore w:val="0"/>
        <w:widowControl/>
        <w:numPr>
          <w:ilvl w:val="0"/>
          <w:numId w:val="3"/>
        </w:numPr>
        <w:kinsoku/>
        <w:wordWrap/>
        <w:overflowPunct/>
        <w:topLinePunct w:val="0"/>
        <w:autoSpaceDE/>
        <w:autoSpaceDN/>
        <w:bidi w:val="0"/>
        <w:spacing w:line="560" w:lineRule="exact"/>
        <w:ind w:left="0" w:leftChars="0" w:firstLine="600" w:firstLineChars="200"/>
        <w:jc w:val="left"/>
        <w:textAlignment w:val="auto"/>
        <w:outlineLvl w:val="9"/>
        <w:rPr>
          <w:rFonts w:hint="eastAsia" w:ascii="黑体" w:hAnsi="黑体" w:eastAsia="黑体" w:cs="Times New Roman"/>
          <w:sz w:val="30"/>
          <w:szCs w:val="30"/>
        </w:rPr>
      </w:pPr>
      <w:r>
        <w:rPr>
          <w:rFonts w:hint="eastAsia" w:ascii="黑体" w:hAnsi="黑体" w:eastAsia="黑体" w:cs="Times New Roman"/>
          <w:sz w:val="30"/>
          <w:szCs w:val="30"/>
        </w:rPr>
        <w:t>部门整体支出管理及使用情况</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_GB2312"/>
          <w:kern w:val="0"/>
          <w:sz w:val="30"/>
          <w:szCs w:val="30"/>
          <w:lang w:eastAsia="zh-CN"/>
        </w:rPr>
      </w:pPr>
      <w:r>
        <w:rPr>
          <w:rFonts w:hint="eastAsia" w:ascii="仿宋" w:hAnsi="仿宋" w:eastAsia="仿宋" w:cs="仿宋_GB2312"/>
          <w:kern w:val="0"/>
          <w:sz w:val="30"/>
          <w:szCs w:val="30"/>
        </w:rPr>
        <w:t>县财政局年初批复</w:t>
      </w:r>
      <w:r>
        <w:rPr>
          <w:rFonts w:hint="eastAsia" w:ascii="仿宋" w:hAnsi="仿宋" w:eastAsia="仿宋" w:cs="仿宋_GB2312"/>
          <w:kern w:val="0"/>
          <w:sz w:val="30"/>
          <w:szCs w:val="30"/>
          <w:lang w:eastAsia="zh-CN"/>
        </w:rPr>
        <w:t>社富乡</w:t>
      </w:r>
      <w:r>
        <w:rPr>
          <w:rFonts w:hint="eastAsia" w:ascii="仿宋" w:hAnsi="仿宋" w:eastAsia="仿宋" w:cs="仿宋_GB2312"/>
          <w:kern w:val="0"/>
          <w:sz w:val="30"/>
          <w:szCs w:val="30"/>
        </w:rPr>
        <w:t>人民政府2021年度部门预算5373.84万元，年中追加（减）预算0万元，合计5373.84万元。当年实际完成收入5373.84万元；完成支出5373.84万元，其中工资福利支出</w:t>
      </w:r>
      <w:r>
        <w:rPr>
          <w:rFonts w:hint="eastAsia" w:ascii="仿宋" w:hAnsi="仿宋" w:eastAsia="仿宋" w:cs="仿宋_GB2312"/>
          <w:kern w:val="0"/>
          <w:sz w:val="30"/>
          <w:szCs w:val="30"/>
          <w:lang w:val="en-US" w:eastAsia="zh-CN"/>
        </w:rPr>
        <w:t>482.97</w:t>
      </w:r>
      <w:r>
        <w:rPr>
          <w:rFonts w:hint="eastAsia" w:ascii="仿宋" w:hAnsi="仿宋" w:eastAsia="仿宋" w:cs="仿宋_GB2312"/>
          <w:kern w:val="0"/>
          <w:sz w:val="30"/>
          <w:szCs w:val="30"/>
        </w:rPr>
        <w:t>万元、商品和服务支出</w:t>
      </w:r>
      <w:r>
        <w:rPr>
          <w:rFonts w:hint="eastAsia" w:ascii="仿宋" w:hAnsi="仿宋" w:eastAsia="仿宋" w:cs="仿宋_GB2312"/>
          <w:kern w:val="0"/>
          <w:sz w:val="30"/>
          <w:szCs w:val="30"/>
          <w:lang w:val="en-US" w:eastAsia="zh-CN"/>
        </w:rPr>
        <w:t>601.42</w:t>
      </w:r>
      <w:r>
        <w:rPr>
          <w:rFonts w:hint="eastAsia" w:ascii="仿宋" w:hAnsi="仿宋" w:eastAsia="仿宋" w:cs="仿宋_GB2312"/>
          <w:kern w:val="0"/>
          <w:sz w:val="30"/>
          <w:szCs w:val="30"/>
        </w:rPr>
        <w:t>万元、对个人和家庭的补助支出</w:t>
      </w:r>
      <w:r>
        <w:rPr>
          <w:rFonts w:hint="eastAsia" w:ascii="仿宋" w:hAnsi="仿宋" w:eastAsia="仿宋" w:cs="仿宋_GB2312"/>
          <w:kern w:val="0"/>
          <w:sz w:val="30"/>
          <w:szCs w:val="30"/>
          <w:lang w:val="en-US" w:eastAsia="zh-CN"/>
        </w:rPr>
        <w:t>375.28</w:t>
      </w:r>
      <w:r>
        <w:rPr>
          <w:rFonts w:hint="eastAsia" w:ascii="仿宋" w:hAnsi="仿宋" w:eastAsia="仿宋" w:cs="仿宋_GB2312"/>
          <w:kern w:val="0"/>
          <w:sz w:val="30"/>
          <w:szCs w:val="30"/>
        </w:rPr>
        <w:t>万元、资本性支出0万元，项目支出</w:t>
      </w:r>
      <w:r>
        <w:rPr>
          <w:rFonts w:hint="eastAsia" w:ascii="仿宋" w:hAnsi="仿宋" w:eastAsia="仿宋" w:cs="仿宋_GB2312"/>
          <w:kern w:val="0"/>
          <w:sz w:val="30"/>
          <w:szCs w:val="30"/>
          <w:lang w:val="en-US" w:eastAsia="zh-CN"/>
        </w:rPr>
        <w:t>3</w:t>
      </w:r>
      <w:r>
        <w:rPr>
          <w:rFonts w:hint="eastAsia" w:ascii="仿宋" w:hAnsi="仿宋" w:eastAsia="仿宋" w:cs="仿宋_GB2312"/>
          <w:kern w:val="0"/>
          <w:sz w:val="30"/>
          <w:szCs w:val="30"/>
        </w:rPr>
        <w:t>9</w:t>
      </w:r>
      <w:r>
        <w:rPr>
          <w:rFonts w:hint="eastAsia" w:ascii="仿宋" w:hAnsi="仿宋" w:eastAsia="仿宋" w:cs="仿宋_GB2312"/>
          <w:kern w:val="0"/>
          <w:sz w:val="30"/>
          <w:szCs w:val="30"/>
          <w:lang w:val="en-US" w:eastAsia="zh-CN"/>
        </w:rPr>
        <w:t>14.17</w:t>
      </w:r>
      <w:r>
        <w:rPr>
          <w:rFonts w:hint="eastAsia" w:ascii="仿宋" w:hAnsi="仿宋" w:eastAsia="仿宋" w:cs="仿宋_GB2312"/>
          <w:kern w:val="0"/>
          <w:sz w:val="30"/>
          <w:szCs w:val="30"/>
        </w:rPr>
        <w:t>万元等；年底结余0万元，其中基本支出结余0万元、项目结余0万元。部门预算支出与执行结果的差异总额为0万元</w:t>
      </w:r>
      <w:r>
        <w:rPr>
          <w:rFonts w:hint="eastAsia" w:ascii="仿宋" w:hAnsi="仿宋" w:eastAsia="仿宋" w:cs="仿宋_GB2312"/>
          <w:kern w:val="0"/>
          <w:sz w:val="30"/>
          <w:szCs w:val="30"/>
          <w:lang w:eastAsia="zh-CN"/>
        </w:rPr>
        <w:t>。</w:t>
      </w:r>
    </w:p>
    <w:p>
      <w:pPr>
        <w:keepNext w:val="0"/>
        <w:keepLines w:val="0"/>
        <w:pageBreakBefore w:val="0"/>
        <w:widowControl/>
        <w:kinsoku/>
        <w:wordWrap/>
        <w:overflowPunct/>
        <w:topLinePunct w:val="0"/>
        <w:autoSpaceDE/>
        <w:autoSpaceDN/>
        <w:bidi w:val="0"/>
        <w:spacing w:line="560" w:lineRule="exact"/>
        <w:jc w:val="center"/>
        <w:textAlignment w:val="auto"/>
        <w:outlineLvl w:val="9"/>
        <w:rPr>
          <w:rFonts w:ascii="宋体" w:hAnsi="宋体" w:cs="Times New Roman"/>
          <w:b/>
          <w:sz w:val="32"/>
          <w:szCs w:val="32"/>
        </w:rPr>
      </w:pPr>
      <w:r>
        <w:rPr>
          <w:rFonts w:hint="eastAsia" w:ascii="宋体" w:hAnsi="宋体" w:cs="Times New Roman"/>
          <w:b/>
          <w:sz w:val="32"/>
          <w:szCs w:val="32"/>
        </w:rPr>
        <w:t>第四部分名词解释</w:t>
      </w:r>
    </w:p>
    <w:p>
      <w:pPr>
        <w:keepNext w:val="0"/>
        <w:keepLines w:val="0"/>
        <w:pageBreakBefore w:val="0"/>
        <w:widowControl/>
        <w:kinsoku/>
        <w:wordWrap/>
        <w:overflowPunct/>
        <w:topLinePunct w:val="0"/>
        <w:autoSpaceDE/>
        <w:autoSpaceDN/>
        <w:bidi w:val="0"/>
        <w:spacing w:line="560" w:lineRule="exact"/>
        <w:ind w:left="0" w:leftChars="0" w:firstLine="602" w:firstLineChars="200"/>
        <w:jc w:val="left"/>
        <w:textAlignment w:val="auto"/>
        <w:outlineLvl w:val="9"/>
        <w:rPr>
          <w:rFonts w:ascii="仿宋" w:hAnsi="仿宋" w:eastAsia="仿宋" w:cs="仿宋"/>
          <w:b/>
          <w:bCs/>
          <w:sz w:val="30"/>
          <w:szCs w:val="30"/>
        </w:rPr>
      </w:pPr>
      <w:r>
        <w:rPr>
          <w:rFonts w:hint="eastAsia" w:ascii="仿宋" w:hAnsi="仿宋" w:eastAsia="仿宋" w:cs="仿宋"/>
          <w:b/>
          <w:bCs/>
          <w:sz w:val="30"/>
          <w:szCs w:val="30"/>
        </w:rPr>
        <w:t>一、收入科目</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rPr>
        <w:t>（一）财政拨款：指县本级财政当年拨付的资金。</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rPr>
        <w:t>（二）事业收入：指事业单位开展专业业务活动及辅助活动取得的收入。</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rPr>
        <w:t>（三）事业单位经营收入：指事业单位在专业业务活动及辅助活动之外开展非独立核算经营活动取得的收入。</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rPr>
        <w:t>（四）其他收入：指除财政拨款、事业收入、事业单位经营收入等以外的各项收入。</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rPr>
        <w:t>（六）上级补助收入：反映事业单位从主管部门和上级单位取得的非财政补助收入。</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rPr>
        <w:t>（七）使用非财政拨款结余：填列历年滚存的非限定用途的非统计财政拨款结余弥补2021年收支差额的数额。</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rPr>
        <w:t>（八）上年结转和结余：填列</w:t>
      </w:r>
      <w:r>
        <w:rPr>
          <w:rFonts w:hint="eastAsia" w:ascii="仿宋" w:hAnsi="仿宋" w:eastAsia="仿宋" w:cs="仿宋"/>
          <w:sz w:val="30"/>
          <w:szCs w:val="30"/>
          <w:lang w:eastAsia="zh-CN"/>
        </w:rPr>
        <w:t>2021年</w:t>
      </w:r>
      <w:r>
        <w:rPr>
          <w:rFonts w:hint="eastAsia" w:ascii="仿宋" w:hAnsi="仿宋" w:eastAsia="仿宋" w:cs="仿宋"/>
          <w:sz w:val="30"/>
          <w:szCs w:val="30"/>
        </w:rPr>
        <w:t>全部结转和结余的资金数，包括当年结转结余资金和历年滚存结转结余资金。</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rPr>
        <w:t>二、</w:t>
      </w:r>
      <w:r>
        <w:rPr>
          <w:rFonts w:hint="eastAsia" w:ascii="仿宋" w:hAnsi="仿宋" w:eastAsia="仿宋" w:cs="仿宋"/>
          <w:b/>
          <w:bCs/>
          <w:sz w:val="30"/>
          <w:szCs w:val="30"/>
        </w:rPr>
        <w:t>支出科目</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（一）</w:t>
      </w:r>
      <w:r>
        <w:rPr>
          <w:rFonts w:hint="eastAsia" w:ascii="仿宋" w:hAnsi="仿宋" w:eastAsia="仿宋" w:cs="仿宋"/>
          <w:sz w:val="30"/>
          <w:szCs w:val="30"/>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（二）</w:t>
      </w:r>
      <w:r>
        <w:rPr>
          <w:rFonts w:hint="eastAsia" w:ascii="仿宋" w:hAnsi="仿宋" w:eastAsia="仿宋" w:cs="仿宋"/>
          <w:sz w:val="30"/>
          <w:szCs w:val="30"/>
        </w:rPr>
        <w:t>项目支出：指在基本支出之外为完成特定行政任务和事业发展目标所发生的支出。</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（三）</w:t>
      </w:r>
      <w:r>
        <w:rPr>
          <w:rFonts w:hint="eastAsia" w:ascii="仿宋" w:hAnsi="仿宋" w:eastAsia="仿宋" w:cs="仿宋"/>
          <w:sz w:val="30"/>
          <w:szCs w:val="30"/>
        </w:rPr>
        <w:t>经营支出：指事业单位在专业业务活动及其辅助活动之外开展非独立核算经营活动发生的支出。</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（四）</w:t>
      </w:r>
      <w:r>
        <w:rPr>
          <w:rFonts w:hint="eastAsia" w:ascii="仿宋" w:hAnsi="仿宋" w:eastAsia="仿宋" w:cs="仿宋"/>
          <w:sz w:val="30"/>
          <w:szCs w:val="30"/>
        </w:rPr>
        <w:t>“三公”经费：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（五）</w:t>
      </w:r>
      <w:r>
        <w:rPr>
          <w:rFonts w:hint="eastAsia" w:ascii="仿宋" w:hAnsi="仿宋" w:eastAsia="仿宋" w:cs="仿宋"/>
          <w:sz w:val="30"/>
          <w:szCs w:val="30"/>
        </w:rPr>
        <w:t>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（六）</w:t>
      </w:r>
      <w:r>
        <w:rPr>
          <w:rFonts w:hint="eastAsia" w:ascii="仿宋" w:hAnsi="仿宋" w:eastAsia="仿宋" w:cs="仿宋"/>
          <w:sz w:val="30"/>
          <w:szCs w:val="30"/>
        </w:rPr>
        <w:t>工资福利支出（支出经济分类科目类级）：反映单位开支的在职职工和编制外长期聘用人员的各类劳动报酬，以及为上述人员缴纳的各项社会保险费等。</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（七）</w:t>
      </w:r>
      <w:r>
        <w:rPr>
          <w:rFonts w:hint="eastAsia" w:ascii="仿宋" w:hAnsi="仿宋" w:eastAsia="仿宋" w:cs="仿宋"/>
          <w:sz w:val="30"/>
          <w:szCs w:val="30"/>
        </w:rPr>
        <w:t>商品和服务支出（支出经济分类科目类级）：反映单位购买商品和服务的支出（不包括用于购置固定资产的支出、战略性和应急储备支出）。</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（八）</w:t>
      </w:r>
      <w:r>
        <w:rPr>
          <w:rFonts w:hint="eastAsia" w:ascii="仿宋" w:hAnsi="仿宋" w:eastAsia="仿宋" w:cs="仿宋"/>
          <w:sz w:val="30"/>
          <w:szCs w:val="30"/>
        </w:rPr>
        <w:t>对个人和家庭的补助（支出经济分类科目类级）：反映用于对个人和家庭的补助支出。</w:t>
      </w:r>
    </w:p>
    <w:p>
      <w:pPr>
        <w:keepNext w:val="0"/>
        <w:keepLines w:val="0"/>
        <w:pageBreakBefore w:val="0"/>
        <w:widowControl/>
        <w:kinsoku/>
        <w:wordWrap/>
        <w:overflowPunct/>
        <w:topLinePunct w:val="0"/>
        <w:autoSpaceDE/>
        <w:autoSpaceDN/>
        <w:bidi w:val="0"/>
        <w:spacing w:line="560" w:lineRule="exact"/>
        <w:ind w:left="0" w:lef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（九）</w:t>
      </w:r>
      <w:r>
        <w:rPr>
          <w:rFonts w:hint="eastAsia" w:ascii="仿宋" w:hAnsi="仿宋" w:eastAsia="仿宋" w:cs="仿宋"/>
          <w:sz w:val="30"/>
          <w:szCs w:val="30"/>
        </w:rPr>
        <w:t>其他资本性支出（支出经济分类科目类级）：反映非各级发展与改革部门集中安排的用于购置固定资产、战略性和应急性储备、土地和无形资产，以及构建基础设施、大型修缮和财政支持企业更新改造所发生的支出。</w:t>
      </w:r>
    </w:p>
    <w:sectPr>
      <w:pgSz w:w="11906" w:h="16838"/>
      <w:pgMar w:top="1440" w:right="1440" w:bottom="1440" w:left="1440" w:header="708" w:footer="709" w:gutter="0"/>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40EB"/>
    <w:multiLevelType w:val="singleLevel"/>
    <w:tmpl w:val="A98B40EB"/>
    <w:lvl w:ilvl="0" w:tentative="0">
      <w:start w:val="2"/>
      <w:numFmt w:val="chineseCounting"/>
      <w:suff w:val="nothing"/>
      <w:lvlText w:val="%1、"/>
      <w:lvlJc w:val="left"/>
      <w:rPr>
        <w:rFonts w:hint="eastAsia"/>
      </w:rPr>
    </w:lvl>
  </w:abstractNum>
  <w:abstractNum w:abstractNumId="1">
    <w:nsid w:val="F8237D91"/>
    <w:multiLevelType w:val="singleLevel"/>
    <w:tmpl w:val="F8237D91"/>
    <w:lvl w:ilvl="0" w:tentative="0">
      <w:start w:val="2"/>
      <w:numFmt w:val="chineseCounting"/>
      <w:suff w:val="space"/>
      <w:lvlText w:val="第%1部分"/>
      <w:lvlJc w:val="left"/>
      <w:rPr>
        <w:rFonts w:hint="eastAsia"/>
      </w:rPr>
    </w:lvl>
  </w:abstractNum>
  <w:abstractNum w:abstractNumId="2">
    <w:nsid w:val="4C947FF8"/>
    <w:multiLevelType w:val="singleLevel"/>
    <w:tmpl w:val="4C947FF8"/>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jk0ZGFjNDZiNTIyYWJhYjIyOGRiM2E3NTg0OTVhM2MifQ=="/>
  </w:docVars>
  <w:rsids>
    <w:rsidRoot w:val="00D31D50"/>
    <w:rsid w:val="000674EF"/>
    <w:rsid w:val="000F5AB9"/>
    <w:rsid w:val="001915C4"/>
    <w:rsid w:val="001C78DE"/>
    <w:rsid w:val="002B3FC1"/>
    <w:rsid w:val="002E4291"/>
    <w:rsid w:val="002F1E69"/>
    <w:rsid w:val="002F21B8"/>
    <w:rsid w:val="00323B43"/>
    <w:rsid w:val="0036578A"/>
    <w:rsid w:val="003C1F24"/>
    <w:rsid w:val="003D37D8"/>
    <w:rsid w:val="00426133"/>
    <w:rsid w:val="004358AB"/>
    <w:rsid w:val="0044227F"/>
    <w:rsid w:val="004A1D44"/>
    <w:rsid w:val="004A42A2"/>
    <w:rsid w:val="005467D1"/>
    <w:rsid w:val="005B1CBD"/>
    <w:rsid w:val="005F2324"/>
    <w:rsid w:val="00677983"/>
    <w:rsid w:val="00682CE7"/>
    <w:rsid w:val="006D5002"/>
    <w:rsid w:val="00720824"/>
    <w:rsid w:val="007C201C"/>
    <w:rsid w:val="008B7726"/>
    <w:rsid w:val="008C1126"/>
    <w:rsid w:val="009454D0"/>
    <w:rsid w:val="00A13092"/>
    <w:rsid w:val="00A41567"/>
    <w:rsid w:val="00AC74B9"/>
    <w:rsid w:val="00B90E76"/>
    <w:rsid w:val="00BA7129"/>
    <w:rsid w:val="00BF4680"/>
    <w:rsid w:val="00C91F9F"/>
    <w:rsid w:val="00C95119"/>
    <w:rsid w:val="00CD1A1B"/>
    <w:rsid w:val="00D12643"/>
    <w:rsid w:val="00D31D50"/>
    <w:rsid w:val="00E20516"/>
    <w:rsid w:val="00E25853"/>
    <w:rsid w:val="00E3413D"/>
    <w:rsid w:val="00E6176D"/>
    <w:rsid w:val="00E90F4E"/>
    <w:rsid w:val="00EA2A73"/>
    <w:rsid w:val="00EA6E5C"/>
    <w:rsid w:val="00EB165C"/>
    <w:rsid w:val="00EC7E04"/>
    <w:rsid w:val="00F94513"/>
    <w:rsid w:val="045E1BB3"/>
    <w:rsid w:val="05AF5900"/>
    <w:rsid w:val="087E15BA"/>
    <w:rsid w:val="08E6388D"/>
    <w:rsid w:val="08FB2760"/>
    <w:rsid w:val="09434162"/>
    <w:rsid w:val="0AD55532"/>
    <w:rsid w:val="0BF33D82"/>
    <w:rsid w:val="0F8B291A"/>
    <w:rsid w:val="11EF70EE"/>
    <w:rsid w:val="132304DC"/>
    <w:rsid w:val="15897477"/>
    <w:rsid w:val="17D16DDB"/>
    <w:rsid w:val="182D64B5"/>
    <w:rsid w:val="18D303DF"/>
    <w:rsid w:val="1A947B8E"/>
    <w:rsid w:val="1AF14415"/>
    <w:rsid w:val="1BCB7CBD"/>
    <w:rsid w:val="1D2A7CD4"/>
    <w:rsid w:val="23F51B7F"/>
    <w:rsid w:val="24AB17D0"/>
    <w:rsid w:val="256E69B2"/>
    <w:rsid w:val="2F8D5902"/>
    <w:rsid w:val="2FA572A9"/>
    <w:rsid w:val="2FDE4398"/>
    <w:rsid w:val="307534B9"/>
    <w:rsid w:val="3293780E"/>
    <w:rsid w:val="33727E70"/>
    <w:rsid w:val="340B42C8"/>
    <w:rsid w:val="37B131B9"/>
    <w:rsid w:val="380C08A9"/>
    <w:rsid w:val="388A34DF"/>
    <w:rsid w:val="39107F7D"/>
    <w:rsid w:val="3C7658EE"/>
    <w:rsid w:val="3F487C50"/>
    <w:rsid w:val="3F4A2611"/>
    <w:rsid w:val="3F771DCC"/>
    <w:rsid w:val="41314E40"/>
    <w:rsid w:val="447F1B63"/>
    <w:rsid w:val="4B8A13C7"/>
    <w:rsid w:val="4CE601A8"/>
    <w:rsid w:val="50047BC4"/>
    <w:rsid w:val="506A18A6"/>
    <w:rsid w:val="51D5589E"/>
    <w:rsid w:val="53DB585C"/>
    <w:rsid w:val="557171BE"/>
    <w:rsid w:val="5752147D"/>
    <w:rsid w:val="58A50A77"/>
    <w:rsid w:val="5A4C3614"/>
    <w:rsid w:val="5A533C21"/>
    <w:rsid w:val="5AE9410B"/>
    <w:rsid w:val="5EC52FDA"/>
    <w:rsid w:val="61EB2991"/>
    <w:rsid w:val="63C82F8A"/>
    <w:rsid w:val="65A31C99"/>
    <w:rsid w:val="661827E7"/>
    <w:rsid w:val="66C856A8"/>
    <w:rsid w:val="6AA9626C"/>
    <w:rsid w:val="6C3B6AD1"/>
    <w:rsid w:val="6CD94D1B"/>
    <w:rsid w:val="6F803422"/>
    <w:rsid w:val="71C53A6C"/>
    <w:rsid w:val="73B53DA9"/>
    <w:rsid w:val="749B4F49"/>
    <w:rsid w:val="76244B12"/>
    <w:rsid w:val="7703794E"/>
    <w:rsid w:val="77AD19D2"/>
    <w:rsid w:val="7DFF15DD"/>
    <w:rsid w:val="7E9A331D"/>
    <w:rsid w:val="7FD23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pPr>
      <w:spacing w:after="0"/>
    </w:pPr>
    <w:rPr>
      <w:sz w:val="18"/>
      <w:szCs w:val="18"/>
    </w:rPr>
  </w:style>
  <w:style w:type="paragraph" w:styleId="3">
    <w:name w:val="footer"/>
    <w:basedOn w:val="1"/>
    <w:link w:val="9"/>
    <w:semiHidden/>
    <w:unhideWhenUsed/>
    <w:qFormat/>
    <w:uiPriority w:val="99"/>
    <w:pPr>
      <w:tabs>
        <w:tab w:val="center" w:pos="4153"/>
        <w:tab w:val="right" w:pos="8306"/>
      </w:tabs>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8">
    <w:name w:val="页眉 Char"/>
    <w:basedOn w:val="6"/>
    <w:link w:val="4"/>
    <w:semiHidden/>
    <w:qFormat/>
    <w:uiPriority w:val="99"/>
    <w:rPr>
      <w:rFonts w:ascii="Tahoma" w:hAnsi="Tahoma"/>
      <w:sz w:val="18"/>
      <w:szCs w:val="18"/>
    </w:rPr>
  </w:style>
  <w:style w:type="character" w:customStyle="1" w:styleId="9">
    <w:name w:val="页脚 Char"/>
    <w:basedOn w:val="6"/>
    <w:link w:val="3"/>
    <w:semiHidden/>
    <w:qFormat/>
    <w:uiPriority w:val="99"/>
    <w:rPr>
      <w:rFonts w:ascii="Tahoma" w:hAnsi="Tahoma"/>
      <w:sz w:val="18"/>
      <w:szCs w:val="18"/>
    </w:rPr>
  </w:style>
  <w:style w:type="character" w:customStyle="1" w:styleId="10">
    <w:name w:val="批注框文本 Char"/>
    <w:basedOn w:val="6"/>
    <w:link w:val="2"/>
    <w:semiHidden/>
    <w:qFormat/>
    <w:uiPriority w:val="99"/>
    <w:rPr>
      <w:rFonts w:ascii="Tahoma" w:hAnsi="Tahoma"/>
      <w:sz w:val="18"/>
      <w:szCs w:val="18"/>
    </w:rPr>
  </w:style>
  <w:style w:type="paragraph" w:customStyle="1" w:styleId="11">
    <w:name w:val="p0"/>
    <w:basedOn w:val="1"/>
    <w:qFormat/>
    <w:uiPriority w:val="0"/>
    <w:pPr>
      <w:adjustRightInd/>
      <w:snapToGrid/>
      <w:spacing w:after="0"/>
      <w:jc w:val="both"/>
    </w:pPr>
    <w:rPr>
      <w:rFonts w:ascii="Times New Roman" w:hAnsi="Times New Roman" w:eastAsia="宋体" w:cs="Times New Roman"/>
      <w:sz w:val="21"/>
      <w:szCs w:val="21"/>
    </w:rPr>
  </w:style>
  <w:style w:type="paragraph" w:customStyle="1" w:styleId="12">
    <w:name w:val="a"/>
    <w:basedOn w:val="1"/>
    <w:qFormat/>
    <w:uiPriority w:val="0"/>
    <w:pPr>
      <w:adjustRightInd/>
      <w:snapToGrid/>
      <w:spacing w:before="100" w:beforeAutospacing="1" w:after="100" w:afterAutospacing="1"/>
    </w:pPr>
    <w:rPr>
      <w:rFonts w:ascii="宋体" w:hAnsi="宋体" w:eastAsia="宋体" w:cs="宋体"/>
      <w:sz w:val="24"/>
      <w:szCs w:val="24"/>
    </w:rPr>
  </w:style>
  <w:style w:type="character" w:customStyle="1" w:styleId="13">
    <w:name w:val="a1"/>
    <w:basedOn w:val="6"/>
    <w:qFormat/>
    <w:uiPriority w:val="0"/>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4222</Words>
  <Characters>4849</Characters>
  <Lines>30</Lines>
  <Paragraphs>8</Paragraphs>
  <TotalTime>33</TotalTime>
  <ScaleCrop>false</ScaleCrop>
  <LinksUpToDate>false</LinksUpToDate>
  <CharactersWithSpaces>4959</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2022-09-01T01:17:37Z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4AE5B451FD404B6C9B46C3884B166D74</vt:lpwstr>
  </property>
</Properties>
</file>