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pacing w:beforeAutospacing="1" w:afterAutospacing="1" w:line="600" w:lineRule="exact"/>
        <w:jc w:val="center"/>
      </w:pPr>
      <w:r>
        <w:rPr>
          <w:rFonts w:ascii="宋体" w:hAnsi="宋体" w:cs="宋体"/>
          <w:b/>
          <w:bCs/>
          <w:kern w:val="2"/>
          <w:sz w:val="44"/>
          <w:szCs w:val="44"/>
          <w:lang w:val="en-US" w:eastAsia="zh-CN" w:bidi="ar"/>
        </w:rPr>
        <w:t>梅窖镇人民政府</w:t>
      </w:r>
      <w:r>
        <w:rPr>
          <w:rFonts w:ascii="宋体" w:hAnsi="宋体" w:eastAsia="宋体" w:cs="宋体"/>
          <w:b/>
          <w:bCs/>
          <w:kern w:val="2"/>
          <w:sz w:val="44"/>
          <w:szCs w:val="44"/>
          <w:lang w:val="en-US" w:eastAsia="zh-CN" w:bidi="ar"/>
        </w:rPr>
        <w:t>2021</w:t>
      </w:r>
      <w:r>
        <w:rPr>
          <w:rFonts w:ascii="宋体" w:hAnsi="宋体" w:cs="宋体"/>
          <w:b/>
          <w:bCs/>
          <w:kern w:val="2"/>
          <w:sz w:val="44"/>
          <w:szCs w:val="44"/>
          <w:lang w:val="en-US" w:eastAsia="zh-CN" w:bidi="ar"/>
        </w:rPr>
        <w:t>年度部门决算</w:t>
      </w:r>
    </w:p>
    <w:p>
      <w:pPr>
        <w:pStyle w:val="3"/>
        <w:keepNext w:val="0"/>
        <w:keepLines w:val="0"/>
        <w:widowControl/>
        <w:spacing w:beforeAutospacing="1" w:afterAutospacing="1" w:line="600" w:lineRule="exact"/>
        <w:jc w:val="center"/>
      </w:pPr>
      <w:r>
        <w:rPr>
          <w:rFonts w:ascii="黑体" w:hAnsi="黑体" w:eastAsia="黑体" w:cs="黑体"/>
          <w:kern w:val="2"/>
          <w:sz w:val="44"/>
          <w:szCs w:val="44"/>
          <w:lang w:val="en-US" w:eastAsia="zh-CN" w:bidi="ar"/>
        </w:rPr>
        <w:t> </w:t>
      </w:r>
    </w:p>
    <w:p>
      <w:pPr>
        <w:pStyle w:val="3"/>
        <w:keepNext w:val="0"/>
        <w:keepLines w:val="0"/>
        <w:widowControl/>
        <w:spacing w:beforeAutospacing="1" w:afterAutospacing="1" w:line="600" w:lineRule="exact"/>
        <w:jc w:val="center"/>
      </w:pPr>
      <w:r>
        <w:rPr>
          <w:rFonts w:ascii="宋体" w:hAnsi="宋体" w:cs="宋体"/>
          <w:b/>
          <w:bCs/>
          <w:kern w:val="2"/>
          <w:sz w:val="40"/>
          <w:szCs w:val="40"/>
          <w:lang w:val="en-US" w:eastAsia="zh-CN" w:bidi="ar"/>
        </w:rPr>
        <w:t>目    录</w:t>
      </w:r>
    </w:p>
    <w:p>
      <w:pPr>
        <w:pStyle w:val="3"/>
        <w:keepNext w:val="0"/>
        <w:keepLines w:val="0"/>
        <w:widowControl/>
        <w:spacing w:beforeAutospacing="1" w:afterAutospacing="1" w:line="600" w:lineRule="exact"/>
        <w:ind w:firstLine="640"/>
        <w:jc w:val="center"/>
      </w:pPr>
      <w:r>
        <w:rPr>
          <w:rFonts w:ascii="仿宋_GB2312" w:hAnsi="仿宋_GB2312" w:eastAsia="仿宋_GB2312" w:cs="仿宋_GB2312"/>
          <w:kern w:val="2"/>
          <w:sz w:val="32"/>
          <w:szCs w:val="32"/>
          <w:lang w:val="en-US" w:eastAsia="zh-CN" w:bidi="ar"/>
        </w:rPr>
        <w:t> </w:t>
      </w:r>
    </w:p>
    <w:p>
      <w:pPr>
        <w:pStyle w:val="3"/>
        <w:keepNext w:val="0"/>
        <w:keepLines w:val="0"/>
        <w:widowControl/>
        <w:spacing w:beforeAutospacing="1" w:afterAutospacing="1" w:line="600" w:lineRule="exact"/>
        <w:ind w:firstLine="640"/>
        <w:jc w:val="left"/>
      </w:pPr>
      <w:r>
        <w:rPr>
          <w:rFonts w:ascii="黑体" w:hAnsi="黑体" w:eastAsia="黑体" w:cs="黑体"/>
          <w:b/>
          <w:bCs w:val="0"/>
          <w:kern w:val="2"/>
          <w:sz w:val="32"/>
          <w:szCs w:val="32"/>
          <w:lang w:val="en-US" w:eastAsia="zh-CN" w:bidi="ar"/>
        </w:rPr>
        <w:t xml:space="preserve">第一部分 </w:t>
      </w:r>
      <w:r>
        <w:rPr>
          <w:rFonts w:ascii="黑体" w:hAnsi="黑体" w:eastAsia="黑体" w:cs="黑体"/>
          <w:kern w:val="2"/>
          <w:sz w:val="32"/>
          <w:szCs w:val="32"/>
          <w:lang w:val="en-US" w:eastAsia="zh-CN" w:bidi="ar"/>
        </w:rPr>
        <w:t>梅窖镇人民政府部门</w:t>
      </w:r>
      <w:r>
        <w:rPr>
          <w:rFonts w:ascii="黑体" w:hAnsi="黑体" w:eastAsia="黑体" w:cs="黑体"/>
          <w:b/>
          <w:bCs w:val="0"/>
          <w:kern w:val="2"/>
          <w:sz w:val="32"/>
          <w:szCs w:val="32"/>
          <w:lang w:val="en-US" w:eastAsia="zh-CN" w:bidi="ar"/>
        </w:rPr>
        <w:t>概况</w:t>
      </w:r>
    </w:p>
    <w:p>
      <w:pPr>
        <w:pStyle w:val="3"/>
        <w:keepNext w:val="0"/>
        <w:keepLines w:val="0"/>
        <w:widowControl/>
        <w:spacing w:beforeAutospacing="1" w:afterAutospacing="1" w:line="600" w:lineRule="exact"/>
        <w:ind w:firstLine="640"/>
        <w:jc w:val="left"/>
      </w:pPr>
      <w:r>
        <w:rPr>
          <w:rFonts w:ascii="仿宋_GB2312" w:hAnsi="仿宋_GB2312" w:eastAsia="仿宋_GB2312" w:cs="仿宋_GB2312"/>
          <w:b/>
          <w:bCs w:val="0"/>
          <w:kern w:val="2"/>
          <w:sz w:val="32"/>
          <w:szCs w:val="32"/>
          <w:lang w:val="en-US" w:eastAsia="zh-CN" w:bidi="ar"/>
        </w:rPr>
        <w:t>    </w:t>
      </w:r>
      <w:r>
        <w:rPr>
          <w:rFonts w:ascii="仿宋" w:hAnsi="仿宋" w:eastAsia="仿宋" w:cs="仿宋"/>
          <w:kern w:val="2"/>
          <w:sz w:val="32"/>
          <w:szCs w:val="32"/>
          <w:lang w:val="en-US" w:eastAsia="zh-CN" w:bidi="ar"/>
        </w:rPr>
        <w:t>一、部门主要职责</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二、部门基本情况</w:t>
      </w:r>
    </w:p>
    <w:p>
      <w:pPr>
        <w:pStyle w:val="3"/>
        <w:keepNext w:val="0"/>
        <w:keepLines w:val="0"/>
        <w:widowControl/>
        <w:spacing w:beforeAutospacing="1" w:afterAutospacing="1" w:line="600" w:lineRule="exact"/>
        <w:ind w:firstLine="640"/>
        <w:jc w:val="left"/>
      </w:pPr>
      <w:r>
        <w:rPr>
          <w:rFonts w:ascii="黑体" w:hAnsi="黑体" w:eastAsia="黑体" w:cs="黑体"/>
          <w:kern w:val="2"/>
          <w:sz w:val="32"/>
          <w:szCs w:val="32"/>
          <w:lang w:val="en-US" w:eastAsia="zh-CN" w:bidi="ar"/>
        </w:rPr>
        <w:t>第二部分  2021年度部门决算表</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一、收入支出决算总表</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二、收入决算表</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三、支出决算表</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四、财政拨款收入支出决算总表</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五、一般公共预算财政拨款支出决算表</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六、一般公共预算财政拨款基本支出决算表</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七、一般公共预算财政拨款</w:t>
      </w:r>
      <w:r>
        <w:rPr>
          <w:rFonts w:ascii="仿宋" w:hAnsi="仿宋" w:eastAsia="仿宋" w:cs="宋体"/>
          <w:kern w:val="0"/>
          <w:sz w:val="32"/>
          <w:szCs w:val="32"/>
          <w:lang w:val="en-US" w:eastAsia="zh-CN" w:bidi="ar"/>
        </w:rPr>
        <w:t>“三公”经费支出决算</w:t>
      </w:r>
    </w:p>
    <w:p>
      <w:pPr>
        <w:pStyle w:val="3"/>
        <w:keepNext w:val="0"/>
        <w:keepLines w:val="0"/>
        <w:widowControl/>
        <w:spacing w:beforeAutospacing="1" w:afterAutospacing="1" w:line="600" w:lineRule="exact"/>
        <w:ind w:firstLine="640"/>
        <w:jc w:val="left"/>
      </w:pPr>
      <w:r>
        <w:rPr>
          <w:rFonts w:ascii="仿宋" w:hAnsi="仿宋" w:eastAsia="仿宋" w:cs="仿宋"/>
          <w:kern w:val="0"/>
          <w:sz w:val="32"/>
          <w:szCs w:val="32"/>
          <w:lang w:val="en-US" w:eastAsia="zh-CN" w:bidi="ar"/>
        </w:rPr>
        <w:t>表</w:t>
      </w:r>
    </w:p>
    <w:p>
      <w:pPr>
        <w:pStyle w:val="3"/>
        <w:keepNext w:val="0"/>
        <w:keepLines w:val="0"/>
        <w:widowControl/>
        <w:numPr>
          <w:ilvl w:val="0"/>
          <w:numId w:val="0"/>
        </w:numPr>
        <w:spacing w:beforeAutospacing="1" w:afterAutospacing="1" w:line="600" w:lineRule="exact"/>
        <w:ind w:left="1280" w:leftChars="0"/>
        <w:jc w:val="left"/>
      </w:pPr>
      <w:r>
        <w:rPr>
          <w:rFonts w:ascii="仿宋" w:hAnsi="仿宋" w:eastAsia="仿宋" w:cs="宋体"/>
          <w:kern w:val="0"/>
          <w:sz w:val="32"/>
          <w:szCs w:val="32"/>
          <w:lang w:val="en-US" w:eastAsia="zh-CN" w:bidi="ar"/>
        </w:rPr>
        <w:t>八、</w:t>
      </w:r>
      <w:r>
        <w:rPr>
          <w:rFonts w:ascii="仿宋" w:hAnsi="仿宋" w:eastAsia="仿宋" w:cs="仿宋"/>
          <w:kern w:val="0"/>
          <w:sz w:val="32"/>
          <w:szCs w:val="32"/>
          <w:lang w:val="en-US" w:eastAsia="zh-CN" w:bidi="ar"/>
        </w:rPr>
        <w:t>政府性基金预算财政拨款收入支出决算表</w:t>
      </w:r>
    </w:p>
    <w:p>
      <w:pPr>
        <w:pStyle w:val="3"/>
        <w:keepNext w:val="0"/>
        <w:keepLines w:val="0"/>
        <w:widowControl/>
        <w:numPr>
          <w:ilvl w:val="0"/>
          <w:numId w:val="0"/>
        </w:numPr>
        <w:spacing w:beforeAutospacing="1" w:afterAutospacing="1" w:line="600" w:lineRule="exact"/>
        <w:ind w:left="1280" w:leftChars="0"/>
        <w:jc w:val="left"/>
      </w:pPr>
      <w:r>
        <w:rPr>
          <w:rFonts w:ascii="仿宋" w:hAnsi="仿宋" w:eastAsia="仿宋" w:cs="宋体"/>
          <w:kern w:val="0"/>
          <w:sz w:val="32"/>
          <w:szCs w:val="32"/>
          <w:lang w:val="en-US" w:eastAsia="zh-CN" w:bidi="ar"/>
        </w:rPr>
        <w:t>九、</w:t>
      </w:r>
      <w:r>
        <w:rPr>
          <w:rFonts w:ascii="仿宋" w:hAnsi="仿宋" w:eastAsia="仿宋" w:cs="仿宋"/>
          <w:kern w:val="0"/>
          <w:sz w:val="32"/>
          <w:szCs w:val="32"/>
          <w:lang w:val="en-US" w:eastAsia="zh-CN" w:bidi="ar"/>
        </w:rPr>
        <w:t>国有资本经营预算财政拨款支出决算表</w:t>
      </w:r>
    </w:p>
    <w:p>
      <w:pPr>
        <w:pStyle w:val="3"/>
        <w:keepNext w:val="0"/>
        <w:keepLines w:val="0"/>
        <w:widowControl/>
        <w:spacing w:beforeAutospacing="1" w:afterAutospacing="1" w:line="600" w:lineRule="exact"/>
        <w:ind w:firstLine="640"/>
        <w:jc w:val="left"/>
      </w:pPr>
      <w:r>
        <w:rPr>
          <w:rFonts w:ascii="仿宋" w:hAnsi="仿宋" w:eastAsia="仿宋" w:cs="宋体"/>
          <w:kern w:val="0"/>
          <w:sz w:val="32"/>
          <w:szCs w:val="32"/>
          <w:lang w:val="en-US" w:eastAsia="zh-CN" w:bidi="ar"/>
        </w:rPr>
        <w:t>    </w:t>
      </w:r>
      <w:r>
        <w:rPr>
          <w:rFonts w:ascii="仿宋" w:hAnsi="仿宋" w:eastAsia="仿宋" w:cs="仿宋"/>
          <w:kern w:val="0"/>
          <w:sz w:val="32"/>
          <w:szCs w:val="32"/>
          <w:lang w:val="en-US" w:eastAsia="zh-CN" w:bidi="ar"/>
        </w:rPr>
        <w:t>十、国有资产占用情况表</w:t>
      </w:r>
    </w:p>
    <w:p>
      <w:pPr>
        <w:pStyle w:val="3"/>
        <w:keepNext w:val="0"/>
        <w:keepLines w:val="0"/>
        <w:widowControl/>
        <w:spacing w:beforeAutospacing="1" w:afterAutospacing="1" w:line="600" w:lineRule="exact"/>
        <w:jc w:val="left"/>
      </w:pPr>
      <w:r>
        <w:rPr>
          <w:rFonts w:ascii="仿宋" w:hAnsi="仿宋" w:eastAsia="仿宋" w:cs="宋体"/>
          <w:kern w:val="0"/>
          <w:sz w:val="32"/>
          <w:szCs w:val="32"/>
          <w:lang w:val="en-US" w:eastAsia="zh-CN" w:bidi="ar"/>
        </w:rPr>
        <w:t>    </w:t>
      </w:r>
      <w:r>
        <w:rPr>
          <w:rFonts w:ascii="黑体" w:hAnsi="黑体" w:eastAsia="黑体" w:cs="黑体"/>
          <w:kern w:val="2"/>
          <w:sz w:val="32"/>
          <w:szCs w:val="32"/>
          <w:lang w:val="en-US" w:eastAsia="zh-CN" w:bidi="ar"/>
        </w:rPr>
        <w:t>第三部分  2021年度部门决算情况说明</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一、收入决算情况说明</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二、支出决算情况说明</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三、财政拨款支出决算情况说明</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四、一般公共预算财政拨款基本支出决算情况说明</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五、一般公共预算财政拨款“三公”经费支出决算</w:t>
      </w:r>
    </w:p>
    <w:p>
      <w:pPr>
        <w:pStyle w:val="3"/>
        <w:keepNext w:val="0"/>
        <w:keepLines w:val="0"/>
        <w:widowControl/>
        <w:spacing w:beforeAutospacing="1" w:afterAutospacing="1" w:line="600" w:lineRule="exact"/>
        <w:jc w:val="left"/>
      </w:pPr>
      <w:r>
        <w:rPr>
          <w:rFonts w:ascii="仿宋" w:hAnsi="仿宋" w:eastAsia="仿宋" w:cs="仿宋"/>
          <w:kern w:val="2"/>
          <w:sz w:val="32"/>
          <w:szCs w:val="32"/>
          <w:lang w:val="en-US" w:eastAsia="zh-CN" w:bidi="ar"/>
        </w:rPr>
        <w:t>    情况说明</w:t>
      </w:r>
    </w:p>
    <w:p>
      <w:pPr>
        <w:pStyle w:val="3"/>
        <w:keepNext w:val="0"/>
        <w:keepLines w:val="0"/>
        <w:widowControl/>
        <w:spacing w:beforeAutospacing="1" w:afterAutospacing="1" w:line="600" w:lineRule="exact"/>
        <w:ind w:firstLine="1280" w:firstLineChars="400"/>
        <w:jc w:val="left"/>
      </w:pPr>
      <w:r>
        <w:rPr>
          <w:rFonts w:ascii="仿宋" w:hAnsi="仿宋" w:eastAsia="仿宋" w:cs="仿宋"/>
          <w:kern w:val="2"/>
          <w:sz w:val="32"/>
          <w:szCs w:val="32"/>
          <w:lang w:val="en-US" w:eastAsia="zh-CN" w:bidi="ar"/>
        </w:rPr>
        <w:t>六、机关运行经费支出情况说明</w:t>
      </w:r>
    </w:p>
    <w:p>
      <w:pPr>
        <w:pStyle w:val="3"/>
        <w:keepNext w:val="0"/>
        <w:keepLines w:val="0"/>
        <w:widowControl/>
        <w:spacing w:beforeAutospacing="1" w:afterAutospacing="1" w:line="600" w:lineRule="exact"/>
        <w:ind w:firstLine="640"/>
        <w:jc w:val="left"/>
      </w:pPr>
      <w:r>
        <w:rPr>
          <w:rFonts w:ascii="仿宋" w:hAnsi="仿宋" w:eastAsia="仿宋" w:cs="仿宋"/>
          <w:kern w:val="2"/>
          <w:sz w:val="32"/>
          <w:szCs w:val="32"/>
          <w:lang w:val="en-US" w:eastAsia="zh-CN" w:bidi="ar"/>
        </w:rPr>
        <w:t>    七、政府采购支出情况说明</w:t>
      </w:r>
    </w:p>
    <w:p>
      <w:pPr>
        <w:pStyle w:val="3"/>
        <w:keepNext w:val="0"/>
        <w:keepLines w:val="0"/>
        <w:widowControl/>
        <w:spacing w:beforeAutospacing="1" w:afterAutospacing="1" w:line="600" w:lineRule="exact"/>
        <w:ind w:firstLine="640"/>
        <w:jc w:val="left"/>
      </w:pPr>
      <w:r>
        <w:rPr>
          <w:rFonts w:ascii="仿宋" w:hAnsi="仿宋" w:eastAsia="仿宋" w:cs="仿宋"/>
          <w:kern w:val="2"/>
          <w:sz w:val="32"/>
          <w:szCs w:val="32"/>
          <w:lang w:val="en-US" w:eastAsia="zh-CN" w:bidi="ar"/>
        </w:rPr>
        <w:t>    八、国有资产占用情况说明</w:t>
      </w:r>
    </w:p>
    <w:p>
      <w:pPr>
        <w:pStyle w:val="3"/>
        <w:keepNext w:val="0"/>
        <w:keepLines w:val="0"/>
        <w:widowControl/>
        <w:spacing w:beforeAutospacing="1" w:afterAutospacing="1" w:line="600" w:lineRule="exact"/>
        <w:ind w:firstLine="640"/>
        <w:jc w:val="left"/>
      </w:pPr>
      <w:r>
        <w:rPr>
          <w:rFonts w:ascii="仿宋" w:hAnsi="仿宋" w:eastAsia="仿宋" w:cs="仿宋"/>
          <w:kern w:val="2"/>
          <w:sz w:val="32"/>
          <w:szCs w:val="32"/>
          <w:lang w:val="en-US" w:eastAsia="zh-CN" w:bidi="ar"/>
        </w:rPr>
        <w:t>    九、预算绩效情况说明</w:t>
      </w:r>
    </w:p>
    <w:p>
      <w:pPr>
        <w:pStyle w:val="3"/>
        <w:keepNext w:val="0"/>
        <w:keepLines w:val="0"/>
        <w:widowControl/>
        <w:spacing w:beforeAutospacing="1" w:afterAutospacing="1" w:line="600" w:lineRule="exact"/>
        <w:ind w:firstLine="640"/>
        <w:jc w:val="left"/>
      </w:pPr>
      <w:r>
        <w:rPr>
          <w:rFonts w:ascii="黑体" w:hAnsi="黑体" w:eastAsia="黑体" w:cs="黑体"/>
          <w:kern w:val="2"/>
          <w:sz w:val="32"/>
          <w:szCs w:val="32"/>
          <w:lang w:val="en-US" w:eastAsia="zh-CN" w:bidi="ar"/>
        </w:rPr>
        <w:t>第四部分  名词解释</w:t>
      </w:r>
    </w:p>
    <w:p>
      <w:pPr>
        <w:pStyle w:val="3"/>
        <w:keepNext w:val="0"/>
        <w:keepLines w:val="0"/>
        <w:widowControl/>
        <w:spacing w:beforeAutospacing="1" w:afterAutospacing="1"/>
        <w:ind w:firstLine="630"/>
        <w:jc w:val="left"/>
      </w:pPr>
    </w:p>
    <w:p>
      <w:pPr>
        <w:pStyle w:val="3"/>
        <w:keepNext w:val="0"/>
        <w:keepLines w:val="0"/>
        <w:widowControl/>
        <w:spacing w:beforeAutospacing="1" w:afterAutospacing="1" w:line="580" w:lineRule="exact"/>
        <w:jc w:val="left"/>
      </w:pPr>
      <w:r>
        <w:rPr>
          <w:rFonts w:ascii="宋体" w:hAnsi="宋体" w:cs="宋体"/>
          <w:b/>
          <w:bCs w:val="0"/>
          <w:kern w:val="2"/>
          <w:sz w:val="32"/>
          <w:szCs w:val="32"/>
          <w:lang w:val="en-US" w:eastAsia="zh-CN" w:bidi="ar"/>
        </w:rPr>
        <w:t>第一部分  </w:t>
      </w:r>
      <w:r>
        <w:rPr>
          <w:rFonts w:ascii="黑体" w:hAnsi="黑体" w:eastAsia="黑体" w:cs="黑体"/>
          <w:kern w:val="2"/>
          <w:sz w:val="32"/>
          <w:szCs w:val="32"/>
          <w:lang w:val="en-US" w:eastAsia="zh-CN" w:bidi="ar"/>
        </w:rPr>
        <w:t>梅窖镇人民政府</w:t>
      </w:r>
      <w:r>
        <w:rPr>
          <w:rFonts w:ascii="宋体" w:hAnsi="宋体" w:cs="宋体"/>
          <w:b/>
          <w:bCs w:val="0"/>
          <w:kern w:val="2"/>
          <w:sz w:val="32"/>
          <w:szCs w:val="32"/>
          <w:lang w:val="en-US" w:eastAsia="zh-CN" w:bidi="ar"/>
        </w:rPr>
        <w:t>部门概况</w:t>
      </w:r>
    </w:p>
    <w:p>
      <w:pPr>
        <w:pStyle w:val="3"/>
        <w:keepNext w:val="0"/>
        <w:keepLines w:val="0"/>
        <w:widowControl/>
        <w:spacing w:beforeAutospacing="1" w:afterAutospacing="1"/>
        <w:ind w:firstLine="630"/>
        <w:jc w:val="left"/>
      </w:pPr>
      <w:r>
        <w:rPr>
          <w:rFonts w:ascii="Calibri" w:hAnsi="Calibri" w:cs="宋体"/>
          <w:kern w:val="2"/>
          <w:sz w:val="32"/>
          <w:szCs w:val="32"/>
          <w:lang w:val="en-US" w:eastAsia="zh-CN" w:bidi="ar"/>
        </w:rPr>
        <w:t> </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一、部门主要职能</w:t>
      </w:r>
    </w:p>
    <w:p>
      <w:pPr>
        <w:pStyle w:val="2"/>
        <w:keepNext w:val="0"/>
        <w:keepLines w:val="0"/>
        <w:widowControl/>
        <w:shd w:val="clear" w:fill="FFFFFF"/>
        <w:spacing w:before="0" w:beforeAutospacing="0" w:after="150" w:afterAutospacing="0"/>
        <w:ind w:firstLine="600" w:firstLineChars="200"/>
        <w:jc w:val="left"/>
      </w:pPr>
      <w:r>
        <w:rPr>
          <w:rFonts w:ascii="仿宋" w:hAnsi="仿宋" w:eastAsia="仿宋" w:cs="仿宋"/>
          <w:kern w:val="0"/>
          <w:sz w:val="30"/>
          <w:szCs w:val="30"/>
          <w:shd w:val="clear" w:fill="FFFFFF"/>
        </w:rPr>
        <w:t>（一）</w:t>
      </w:r>
      <w:r>
        <w:rPr>
          <w:rFonts w:ascii="仿宋" w:hAnsi="仿宋" w:eastAsia="仿宋" w:cs="仿宋"/>
          <w:color w:val="000000"/>
          <w:kern w:val="0"/>
          <w:sz w:val="30"/>
          <w:szCs w:val="30"/>
          <w:shd w:val="clear" w:fill="FFFFFF"/>
        </w:rPr>
        <w:t>宣传贯彻党的路线、方针、政策，执行党中央、上级党组织的决定，领导本镇工作，对本镇重大工作、重点问题进行决策，认真抓好党的思想、组织和作风建设，支持和保证行政组织、经济组织、群众组织充分行使职权，充分发挥基层党支部战斗堡垒作用和共产党的先锋模范作用。</w:t>
      </w:r>
    </w:p>
    <w:p>
      <w:pPr>
        <w:pStyle w:val="2"/>
        <w:keepNext w:val="0"/>
        <w:keepLines w:val="0"/>
        <w:widowControl/>
        <w:shd w:val="clear" w:fill="FFFFFF"/>
        <w:spacing w:before="0" w:beforeAutospacing="0" w:after="150" w:afterAutospacing="0"/>
        <w:jc w:val="left"/>
      </w:pPr>
      <w:r>
        <w:rPr>
          <w:rFonts w:ascii="仿宋" w:hAnsi="仿宋" w:eastAsia="仿宋" w:cs="仿宋"/>
          <w:kern w:val="0"/>
          <w:sz w:val="30"/>
          <w:szCs w:val="30"/>
          <w:shd w:val="clear" w:fill="FFFFFF"/>
        </w:rPr>
        <w:t>（二）</w:t>
      </w:r>
      <w:r>
        <w:rPr>
          <w:rFonts w:ascii="仿宋" w:hAnsi="仿宋" w:eastAsia="仿宋" w:cs="仿宋"/>
          <w:color w:val="000000"/>
          <w:kern w:val="0"/>
          <w:sz w:val="30"/>
          <w:szCs w:val="30"/>
          <w:shd w:val="clear" w:fill="FFFFFF"/>
        </w:rPr>
        <w:t>监督本乡国家公务员和机关工作人员依法行政，秉公办事，领导和组织实施本镇的</w:t>
      </w:r>
      <w:r>
        <w:rPr>
          <w:rFonts w:ascii="仿宋" w:hAnsi="仿宋" w:eastAsia="仿宋" w:cs="宋体"/>
          <w:color w:val="000000"/>
          <w:kern w:val="0"/>
          <w:sz w:val="30"/>
          <w:szCs w:val="30"/>
          <w:shd w:val="clear" w:fill="FFFFFF"/>
        </w:rPr>
        <w:t>“两个文明”建设。</w:t>
      </w:r>
    </w:p>
    <w:p>
      <w:pPr>
        <w:pStyle w:val="2"/>
        <w:keepNext w:val="0"/>
        <w:keepLines w:val="0"/>
        <w:widowControl/>
        <w:shd w:val="clear" w:fill="FFFFFF"/>
        <w:spacing w:before="0" w:beforeAutospacing="0" w:after="150" w:afterAutospacing="0"/>
        <w:jc w:val="left"/>
      </w:pPr>
      <w:r>
        <w:rPr>
          <w:rFonts w:ascii="仿宋" w:hAnsi="仿宋" w:eastAsia="仿宋" w:cs="仿宋"/>
          <w:kern w:val="0"/>
          <w:sz w:val="30"/>
          <w:szCs w:val="30"/>
          <w:shd w:val="clear" w:fill="FFFFFF"/>
        </w:rPr>
        <w:t>（三）</w:t>
      </w:r>
      <w:r>
        <w:rPr>
          <w:rFonts w:ascii="仿宋" w:hAnsi="仿宋" w:eastAsia="仿宋" w:cs="仿宋"/>
          <w:color w:val="000000"/>
          <w:kern w:val="0"/>
          <w:sz w:val="30"/>
          <w:szCs w:val="30"/>
          <w:shd w:val="clear" w:fill="FFFFFF"/>
        </w:rPr>
        <w:t>执行本级人民代表大会的决议和上级国家行政机关的决定与命令，发布决定。</w:t>
      </w:r>
    </w:p>
    <w:p>
      <w:pPr>
        <w:pStyle w:val="2"/>
        <w:keepNext w:val="0"/>
        <w:keepLines w:val="0"/>
        <w:widowControl/>
        <w:shd w:val="clear" w:fill="FFFFFF"/>
        <w:spacing w:before="0" w:beforeAutospacing="0" w:after="150" w:afterAutospacing="0"/>
        <w:jc w:val="left"/>
      </w:pPr>
      <w:r>
        <w:rPr>
          <w:rFonts w:ascii="仿宋" w:hAnsi="仿宋" w:eastAsia="仿宋" w:cs="仿宋"/>
          <w:kern w:val="0"/>
          <w:sz w:val="30"/>
          <w:szCs w:val="30"/>
          <w:shd w:val="clear" w:fill="FFFFFF"/>
        </w:rPr>
        <w:t>（四）</w:t>
      </w:r>
      <w:r>
        <w:rPr>
          <w:rFonts w:ascii="仿宋" w:hAnsi="仿宋" w:eastAsia="仿宋" w:cs="仿宋"/>
          <w:color w:val="000000"/>
          <w:kern w:val="0"/>
          <w:sz w:val="30"/>
          <w:szCs w:val="30"/>
          <w:shd w:val="clear" w:fill="FFFFFF"/>
        </w:rPr>
        <w:t>管理行政区域内的经济、教育、科学、文化、卫生、体育事业和财政、民政优抚、社会治安综合治理、计划生育、乡村建设等行政事务工作。</w:t>
      </w:r>
    </w:p>
    <w:p>
      <w:pPr>
        <w:pStyle w:val="2"/>
        <w:keepNext w:val="0"/>
        <w:keepLines w:val="0"/>
        <w:widowControl/>
        <w:shd w:val="clear" w:fill="FFFFFF"/>
        <w:spacing w:before="0" w:beforeAutospacing="0" w:after="150" w:afterAutospacing="0"/>
        <w:jc w:val="left"/>
      </w:pPr>
      <w:r>
        <w:rPr>
          <w:rFonts w:ascii="仿宋" w:hAnsi="仿宋" w:eastAsia="仿宋" w:cs="仿宋"/>
          <w:kern w:val="0"/>
          <w:sz w:val="30"/>
          <w:szCs w:val="30"/>
          <w:shd w:val="clear" w:fill="FFFFFF"/>
        </w:rPr>
        <w:t>（五）</w:t>
      </w:r>
      <w:r>
        <w:rPr>
          <w:rFonts w:ascii="仿宋" w:hAnsi="仿宋" w:eastAsia="仿宋" w:cs="仿宋"/>
          <w:color w:val="000000"/>
          <w:kern w:val="0"/>
          <w:sz w:val="30"/>
          <w:szCs w:val="30"/>
          <w:shd w:val="clear" w:fill="FFFFFF"/>
        </w:rPr>
        <w:t>建立健全农业科技体系，为农民和经济组织服务，调整产业结构，发展特色产业。</w:t>
      </w:r>
    </w:p>
    <w:p>
      <w:pPr>
        <w:pStyle w:val="2"/>
        <w:keepNext w:val="0"/>
        <w:keepLines w:val="0"/>
        <w:widowControl/>
        <w:shd w:val="clear" w:fill="FFFFFF"/>
        <w:spacing w:before="0" w:beforeAutospacing="0" w:after="150" w:afterAutospacing="0"/>
        <w:jc w:val="left"/>
      </w:pPr>
      <w:r>
        <w:rPr>
          <w:rFonts w:ascii="仿宋" w:hAnsi="仿宋" w:eastAsia="仿宋" w:cs="仿宋"/>
          <w:kern w:val="0"/>
          <w:sz w:val="30"/>
          <w:szCs w:val="30"/>
          <w:shd w:val="clear" w:fill="FFFFFF"/>
        </w:rPr>
        <w:t>（六）</w:t>
      </w:r>
      <w:r>
        <w:rPr>
          <w:rFonts w:ascii="仿宋" w:hAnsi="仿宋" w:eastAsia="仿宋" w:cs="仿宋"/>
          <w:color w:val="000000"/>
          <w:kern w:val="0"/>
          <w:sz w:val="30"/>
          <w:szCs w:val="30"/>
          <w:shd w:val="clear" w:fill="FFFFFF"/>
        </w:rPr>
        <w:t>加快全乡公益事业的发展，组织救灾抢险重大工作。</w:t>
      </w:r>
    </w:p>
    <w:p>
      <w:pPr>
        <w:pStyle w:val="2"/>
        <w:keepNext w:val="0"/>
        <w:keepLines w:val="0"/>
        <w:widowControl/>
        <w:shd w:val="clear" w:fill="FFFFFF"/>
        <w:spacing w:before="0" w:beforeAutospacing="0" w:after="150" w:afterAutospacing="0"/>
        <w:jc w:val="left"/>
      </w:pPr>
      <w:r>
        <w:rPr>
          <w:rFonts w:ascii="仿宋" w:hAnsi="仿宋" w:eastAsia="仿宋" w:cs="仿宋"/>
          <w:kern w:val="0"/>
          <w:sz w:val="30"/>
          <w:szCs w:val="30"/>
          <w:shd w:val="clear" w:fill="FFFFFF"/>
        </w:rPr>
        <w:t>（七）</w:t>
      </w:r>
      <w:r>
        <w:rPr>
          <w:rFonts w:ascii="仿宋" w:hAnsi="仿宋" w:eastAsia="仿宋" w:cs="仿宋"/>
          <w:color w:val="000000"/>
          <w:kern w:val="0"/>
          <w:sz w:val="30"/>
          <w:szCs w:val="30"/>
          <w:shd w:val="clear" w:fill="FFFFFF"/>
        </w:rPr>
        <w:t>承办县委、县政府交办的其他工作。</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 </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二、部门基本情况</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纳入本套部门决算汇编范围的单位共1个，包括：镇政府机关。</w:t>
      </w: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r>
        <w:rPr>
          <w:rFonts w:ascii="仿宋" w:hAnsi="仿宋" w:eastAsia="仿宋" w:cs="仿宋"/>
          <w:kern w:val="2"/>
          <w:sz w:val="30"/>
          <w:szCs w:val="30"/>
          <w:lang w:val="en-US" w:eastAsia="zh-CN" w:bidi="ar"/>
        </w:rPr>
        <w:t>本部门2021年年末实有人数 48人，其中在职人员48人，离休人员 0 人，退休人员0人；年末其他人员 0 人；年末学生人数  0 人</w:t>
      </w: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p>
    <w:p>
      <w:pPr>
        <w:pStyle w:val="3"/>
        <w:keepNext w:val="0"/>
        <w:keepLines w:val="0"/>
        <w:widowControl/>
        <w:spacing w:beforeAutospacing="1" w:afterAutospacing="1"/>
        <w:jc w:val="left"/>
        <w:rPr>
          <w:rFonts w:ascii="仿宋" w:hAnsi="仿宋" w:eastAsia="仿宋" w:cs="仿宋"/>
          <w:kern w:val="2"/>
          <w:sz w:val="30"/>
          <w:szCs w:val="30"/>
          <w:lang w:val="en-US" w:eastAsia="zh-CN" w:bidi="ar"/>
        </w:rPr>
      </w:pP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p>
    <w:p>
      <w:pPr>
        <w:pStyle w:val="3"/>
        <w:keepNext w:val="0"/>
        <w:keepLines w:val="0"/>
        <w:widowControl/>
        <w:numPr>
          <w:ilvl w:val="0"/>
          <w:numId w:val="1"/>
        </w:numPr>
        <w:spacing w:beforeAutospacing="1" w:afterAutospacing="1" w:line="600" w:lineRule="exact"/>
        <w:ind w:firstLine="640"/>
        <w:jc w:val="left"/>
        <w:rPr>
          <w:rFonts w:ascii="宋体" w:hAnsi="宋体" w:eastAsia="宋体" w:cs="宋体"/>
          <w:b/>
          <w:bCs w:val="0"/>
          <w:kern w:val="2"/>
          <w:sz w:val="32"/>
          <w:szCs w:val="32"/>
          <w:lang w:val="en-US" w:eastAsia="zh-CN" w:bidi="ar"/>
        </w:rPr>
      </w:pPr>
      <w:r>
        <w:rPr>
          <w:rFonts w:ascii="宋体" w:hAnsi="宋体" w:cs="宋体"/>
          <w:b/>
          <w:bCs w:val="0"/>
          <w:kern w:val="2"/>
          <w:sz w:val="32"/>
          <w:szCs w:val="32"/>
          <w:lang w:val="en-US" w:eastAsia="zh-CN" w:bidi="ar"/>
        </w:rPr>
        <w:t> </w:t>
      </w:r>
      <w:r>
        <w:rPr>
          <w:rFonts w:ascii="宋体" w:hAnsi="宋体" w:eastAsia="宋体" w:cs="宋体"/>
          <w:b/>
          <w:bCs w:val="0"/>
          <w:kern w:val="2"/>
          <w:sz w:val="32"/>
          <w:szCs w:val="32"/>
          <w:lang w:val="en-US" w:eastAsia="zh-CN" w:bidi="ar"/>
        </w:rPr>
        <w:t>2021</w:t>
      </w:r>
      <w:r>
        <w:rPr>
          <w:rFonts w:ascii="宋体" w:hAnsi="宋体" w:cs="宋体"/>
          <w:b/>
          <w:bCs w:val="0"/>
          <w:kern w:val="2"/>
          <w:sz w:val="32"/>
          <w:szCs w:val="32"/>
          <w:lang w:val="en-US" w:eastAsia="zh-CN" w:bidi="ar"/>
        </w:rPr>
        <w:t>年度部门决算表</w:t>
      </w:r>
    </w:p>
    <w:tbl>
      <w:tblPr>
        <w:tblStyle w:val="5"/>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30"/>
        <w:gridCol w:w="362"/>
        <w:gridCol w:w="338"/>
        <w:gridCol w:w="1560"/>
        <w:gridCol w:w="685"/>
        <w:gridCol w:w="1035"/>
        <w:gridCol w:w="974"/>
        <w:gridCol w:w="569"/>
        <w:gridCol w:w="728"/>
        <w:gridCol w:w="635"/>
        <w:gridCol w:w="731"/>
        <w:gridCol w:w="283"/>
        <w:gridCol w:w="581"/>
        <w:gridCol w:w="727"/>
        <w:gridCol w:w="2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9930" w:type="dxa"/>
            <w:gridSpan w:val="15"/>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90" w:type="dxa"/>
            <w:gridSpan w:val="4"/>
            <w:shd w:val="clear" w:color="auto" w:fill="auto"/>
            <w:vAlign w:val="bottom"/>
          </w:tcPr>
          <w:p>
            <w:pPr>
              <w:rPr>
                <w:rFonts w:hint="eastAsia" w:ascii="Arial" w:hAnsi="Arial" w:cs="Arial"/>
                <w:i w:val="0"/>
                <w:color w:val="000000"/>
                <w:sz w:val="20"/>
                <w:szCs w:val="20"/>
                <w:u w:val="none"/>
              </w:rPr>
            </w:pPr>
          </w:p>
        </w:tc>
        <w:tc>
          <w:tcPr>
            <w:tcW w:w="685" w:type="dxa"/>
            <w:shd w:val="clear" w:color="auto" w:fill="auto"/>
            <w:vAlign w:val="bottom"/>
          </w:tcPr>
          <w:p>
            <w:pPr>
              <w:rPr>
                <w:rFonts w:hint="default" w:ascii="Arial" w:hAnsi="Arial" w:cs="Arial"/>
                <w:i w:val="0"/>
                <w:color w:val="000000"/>
                <w:sz w:val="20"/>
                <w:szCs w:val="20"/>
                <w:u w:val="none"/>
              </w:rPr>
            </w:pPr>
          </w:p>
        </w:tc>
        <w:tc>
          <w:tcPr>
            <w:tcW w:w="2578" w:type="dxa"/>
            <w:gridSpan w:val="3"/>
            <w:shd w:val="clear" w:color="auto" w:fill="auto"/>
            <w:vAlign w:val="bottom"/>
          </w:tcPr>
          <w:p>
            <w:pPr>
              <w:rPr>
                <w:rFonts w:hint="default" w:ascii="Arial" w:hAnsi="Arial" w:cs="Arial"/>
                <w:i w:val="0"/>
                <w:color w:val="000000"/>
                <w:sz w:val="20"/>
                <w:szCs w:val="20"/>
                <w:u w:val="none"/>
              </w:rPr>
            </w:pPr>
          </w:p>
        </w:tc>
        <w:tc>
          <w:tcPr>
            <w:tcW w:w="2377" w:type="dxa"/>
            <w:gridSpan w:val="4"/>
            <w:shd w:val="clear" w:color="auto" w:fill="auto"/>
            <w:vAlign w:val="bottom"/>
          </w:tcPr>
          <w:p>
            <w:pPr>
              <w:rPr>
                <w:rFonts w:hint="default" w:ascii="Arial" w:hAnsi="Arial" w:cs="Arial"/>
                <w:i w:val="0"/>
                <w:color w:val="000000"/>
                <w:sz w:val="20"/>
                <w:szCs w:val="20"/>
                <w:u w:val="none"/>
              </w:rPr>
            </w:pPr>
          </w:p>
        </w:tc>
        <w:tc>
          <w:tcPr>
            <w:tcW w:w="581" w:type="dxa"/>
            <w:shd w:val="clear" w:color="auto" w:fill="auto"/>
            <w:vAlign w:val="bottom"/>
          </w:tcPr>
          <w:p>
            <w:pPr>
              <w:rPr>
                <w:rFonts w:hint="default" w:ascii="Arial" w:hAnsi="Arial" w:cs="Arial"/>
                <w:i w:val="0"/>
                <w:color w:val="000000"/>
                <w:sz w:val="20"/>
                <w:szCs w:val="20"/>
                <w:u w:val="none"/>
              </w:rPr>
            </w:pPr>
          </w:p>
        </w:tc>
        <w:tc>
          <w:tcPr>
            <w:tcW w:w="1019"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90" w:type="dxa"/>
            <w:gridSpan w:val="4"/>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685" w:type="dxa"/>
            <w:shd w:val="clear" w:color="auto" w:fill="auto"/>
            <w:vAlign w:val="bottom"/>
          </w:tcPr>
          <w:p>
            <w:pPr>
              <w:rPr>
                <w:rFonts w:hint="default" w:ascii="Arial" w:hAnsi="Arial" w:cs="Arial"/>
                <w:i w:val="0"/>
                <w:color w:val="000000"/>
                <w:sz w:val="20"/>
                <w:szCs w:val="20"/>
                <w:u w:val="none"/>
              </w:rPr>
            </w:pPr>
          </w:p>
        </w:tc>
        <w:tc>
          <w:tcPr>
            <w:tcW w:w="2578" w:type="dxa"/>
            <w:gridSpan w:val="3"/>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2377" w:type="dxa"/>
            <w:gridSpan w:val="4"/>
            <w:shd w:val="clear" w:color="auto" w:fill="auto"/>
            <w:vAlign w:val="bottom"/>
          </w:tcPr>
          <w:p>
            <w:pPr>
              <w:rPr>
                <w:rFonts w:hint="default" w:ascii="Arial" w:hAnsi="Arial" w:cs="Arial"/>
                <w:i w:val="0"/>
                <w:color w:val="000000"/>
                <w:sz w:val="20"/>
                <w:szCs w:val="20"/>
                <w:u w:val="none"/>
              </w:rPr>
            </w:pPr>
          </w:p>
        </w:tc>
        <w:tc>
          <w:tcPr>
            <w:tcW w:w="581" w:type="dxa"/>
            <w:shd w:val="clear" w:color="auto" w:fill="auto"/>
            <w:vAlign w:val="bottom"/>
          </w:tcPr>
          <w:p>
            <w:pPr>
              <w:rPr>
                <w:rFonts w:hint="default" w:ascii="Arial" w:hAnsi="Arial" w:cs="Arial"/>
                <w:i w:val="0"/>
                <w:color w:val="000000"/>
                <w:sz w:val="20"/>
                <w:szCs w:val="20"/>
                <w:u w:val="none"/>
              </w:rPr>
            </w:pPr>
          </w:p>
        </w:tc>
        <w:tc>
          <w:tcPr>
            <w:tcW w:w="1019"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5953" w:type="dxa"/>
            <w:gridSpan w:val="8"/>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3977" w:type="dxa"/>
            <w:gridSpan w:val="7"/>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578"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项目（按功能分类）</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019"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685"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78"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581"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19"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1,069.81</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578"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b/>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578"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578"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1,172.15</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                 </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885.77</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                                </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b/>
                <w:i w:val="0"/>
                <w:color w:val="000000"/>
                <w:sz w:val="22"/>
                <w:szCs w:val="22"/>
                <w:u w:val="none"/>
              </w:rPr>
            </w:pP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2578"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77" w:type="dxa"/>
            <w:gridSpan w:val="4"/>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b/>
                <w:i w:val="0"/>
                <w:color w:val="000000"/>
                <w:sz w:val="22"/>
                <w:szCs w:val="22"/>
                <w:u w:val="none"/>
              </w:rPr>
            </w:pP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01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269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8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25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c>
          <w:tcPr>
            <w:tcW w:w="2377"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8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01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9930" w:type="dxa"/>
            <w:gridSpan w:val="1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注：1.本表反映部门本年度的总收支和年末结转结余情况。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9930" w:type="dxa"/>
            <w:gridSpan w:val="1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2.本套报表金额单位转换时可能存在尾数误差。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540" w:hRule="atLeast"/>
        </w:trPr>
        <w:tc>
          <w:tcPr>
            <w:tcW w:w="9638" w:type="dxa"/>
            <w:gridSpan w:val="14"/>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86" w:hRule="atLeast"/>
        </w:trPr>
        <w:tc>
          <w:tcPr>
            <w:tcW w:w="430" w:type="dxa"/>
            <w:shd w:val="clear" w:color="auto" w:fill="auto"/>
            <w:vAlign w:val="bottom"/>
          </w:tcPr>
          <w:p>
            <w:pPr>
              <w:rPr>
                <w:rFonts w:hint="eastAsia" w:ascii="Arial" w:hAnsi="Arial" w:cs="Arial"/>
                <w:i w:val="0"/>
                <w:color w:val="000000"/>
                <w:sz w:val="20"/>
                <w:szCs w:val="20"/>
                <w:u w:val="none"/>
              </w:rPr>
            </w:pPr>
          </w:p>
        </w:tc>
        <w:tc>
          <w:tcPr>
            <w:tcW w:w="362" w:type="dxa"/>
            <w:shd w:val="clear" w:color="auto" w:fill="auto"/>
            <w:vAlign w:val="bottom"/>
          </w:tcPr>
          <w:p>
            <w:pPr>
              <w:rPr>
                <w:rFonts w:hint="default" w:ascii="Arial" w:hAnsi="Arial" w:cs="Arial"/>
                <w:i w:val="0"/>
                <w:color w:val="000000"/>
                <w:sz w:val="20"/>
                <w:szCs w:val="20"/>
                <w:u w:val="none"/>
              </w:rPr>
            </w:pPr>
          </w:p>
        </w:tc>
        <w:tc>
          <w:tcPr>
            <w:tcW w:w="338" w:type="dxa"/>
            <w:shd w:val="clear" w:color="auto" w:fill="auto"/>
            <w:vAlign w:val="bottom"/>
          </w:tcPr>
          <w:p>
            <w:pPr>
              <w:rPr>
                <w:rFonts w:hint="default" w:ascii="Arial" w:hAnsi="Arial" w:cs="Arial"/>
                <w:i w:val="0"/>
                <w:color w:val="000000"/>
                <w:sz w:val="20"/>
                <w:szCs w:val="20"/>
                <w:u w:val="none"/>
              </w:rPr>
            </w:pPr>
          </w:p>
        </w:tc>
        <w:tc>
          <w:tcPr>
            <w:tcW w:w="2245" w:type="dxa"/>
            <w:gridSpan w:val="2"/>
            <w:shd w:val="clear" w:color="auto" w:fill="auto"/>
            <w:vAlign w:val="bottom"/>
          </w:tcPr>
          <w:p>
            <w:pPr>
              <w:rPr>
                <w:rFonts w:hint="default" w:ascii="Arial" w:hAnsi="Arial" w:cs="Arial"/>
                <w:i w:val="0"/>
                <w:color w:val="000000"/>
                <w:sz w:val="20"/>
                <w:szCs w:val="20"/>
                <w:u w:val="none"/>
              </w:rPr>
            </w:pPr>
          </w:p>
        </w:tc>
        <w:tc>
          <w:tcPr>
            <w:tcW w:w="1035" w:type="dxa"/>
            <w:shd w:val="clear" w:color="auto" w:fill="auto"/>
            <w:vAlign w:val="bottom"/>
          </w:tcPr>
          <w:p>
            <w:pPr>
              <w:rPr>
                <w:rFonts w:hint="default" w:ascii="Arial" w:hAnsi="Arial" w:cs="Arial"/>
                <w:i w:val="0"/>
                <w:color w:val="000000"/>
                <w:sz w:val="20"/>
                <w:szCs w:val="20"/>
                <w:u w:val="none"/>
              </w:rPr>
            </w:pPr>
          </w:p>
        </w:tc>
        <w:tc>
          <w:tcPr>
            <w:tcW w:w="974" w:type="dxa"/>
            <w:shd w:val="clear" w:color="auto" w:fill="auto"/>
            <w:vAlign w:val="bottom"/>
          </w:tcPr>
          <w:p>
            <w:pPr>
              <w:rPr>
                <w:rFonts w:hint="default" w:ascii="Arial" w:hAnsi="Arial" w:cs="Arial"/>
                <w:i w:val="0"/>
                <w:color w:val="000000"/>
                <w:sz w:val="20"/>
                <w:szCs w:val="20"/>
                <w:u w:val="none"/>
              </w:rPr>
            </w:pPr>
          </w:p>
        </w:tc>
        <w:tc>
          <w:tcPr>
            <w:tcW w:w="1297" w:type="dxa"/>
            <w:gridSpan w:val="2"/>
            <w:shd w:val="clear" w:color="auto" w:fill="auto"/>
            <w:vAlign w:val="bottom"/>
          </w:tcPr>
          <w:p>
            <w:pPr>
              <w:rPr>
                <w:rFonts w:hint="default" w:ascii="Arial" w:hAnsi="Arial" w:cs="Arial"/>
                <w:i w:val="0"/>
                <w:color w:val="000000"/>
                <w:sz w:val="20"/>
                <w:szCs w:val="20"/>
                <w:u w:val="none"/>
              </w:rPr>
            </w:pPr>
          </w:p>
        </w:tc>
        <w:tc>
          <w:tcPr>
            <w:tcW w:w="635" w:type="dxa"/>
            <w:shd w:val="clear" w:color="auto" w:fill="auto"/>
            <w:vAlign w:val="bottom"/>
          </w:tcPr>
          <w:p>
            <w:pPr>
              <w:rPr>
                <w:rFonts w:hint="default" w:ascii="Arial" w:hAnsi="Arial" w:cs="Arial"/>
                <w:i w:val="0"/>
                <w:color w:val="000000"/>
                <w:sz w:val="20"/>
                <w:szCs w:val="20"/>
                <w:u w:val="none"/>
              </w:rPr>
            </w:pPr>
          </w:p>
        </w:tc>
        <w:tc>
          <w:tcPr>
            <w:tcW w:w="731" w:type="dxa"/>
            <w:shd w:val="clear" w:color="auto" w:fill="auto"/>
            <w:vAlign w:val="bottom"/>
          </w:tcPr>
          <w:p>
            <w:pPr>
              <w:rPr>
                <w:rFonts w:hint="default" w:ascii="Arial" w:hAnsi="Arial" w:cs="Arial"/>
                <w:i w:val="0"/>
                <w:color w:val="000000"/>
                <w:sz w:val="20"/>
                <w:szCs w:val="20"/>
                <w:u w:val="none"/>
              </w:rPr>
            </w:pPr>
          </w:p>
        </w:tc>
        <w:tc>
          <w:tcPr>
            <w:tcW w:w="864" w:type="dxa"/>
            <w:gridSpan w:val="2"/>
            <w:shd w:val="clear" w:color="auto" w:fill="auto"/>
            <w:vAlign w:val="bottom"/>
          </w:tcPr>
          <w:p>
            <w:pPr>
              <w:rPr>
                <w:rFonts w:hint="default" w:ascii="Arial" w:hAnsi="Arial" w:cs="Arial"/>
                <w:i w:val="0"/>
                <w:color w:val="000000"/>
                <w:sz w:val="20"/>
                <w:szCs w:val="20"/>
                <w:u w:val="none"/>
              </w:rPr>
            </w:pPr>
          </w:p>
        </w:tc>
        <w:tc>
          <w:tcPr>
            <w:tcW w:w="727"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86" w:hRule="atLeast"/>
        </w:trPr>
        <w:tc>
          <w:tcPr>
            <w:tcW w:w="430"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362" w:type="dxa"/>
            <w:shd w:val="clear" w:color="auto" w:fill="auto"/>
            <w:vAlign w:val="bottom"/>
          </w:tcPr>
          <w:p>
            <w:pPr>
              <w:rPr>
                <w:rFonts w:hint="default" w:ascii="Arial" w:hAnsi="Arial" w:cs="Arial"/>
                <w:i w:val="0"/>
                <w:color w:val="000000"/>
                <w:sz w:val="20"/>
                <w:szCs w:val="20"/>
                <w:u w:val="none"/>
              </w:rPr>
            </w:pPr>
          </w:p>
        </w:tc>
        <w:tc>
          <w:tcPr>
            <w:tcW w:w="338" w:type="dxa"/>
            <w:shd w:val="clear" w:color="auto" w:fill="auto"/>
            <w:vAlign w:val="bottom"/>
          </w:tcPr>
          <w:p>
            <w:pPr>
              <w:rPr>
                <w:rFonts w:hint="default" w:ascii="Arial" w:hAnsi="Arial" w:cs="Arial"/>
                <w:i w:val="0"/>
                <w:color w:val="000000"/>
                <w:sz w:val="20"/>
                <w:szCs w:val="20"/>
                <w:u w:val="none"/>
              </w:rPr>
            </w:pPr>
          </w:p>
        </w:tc>
        <w:tc>
          <w:tcPr>
            <w:tcW w:w="2245" w:type="dxa"/>
            <w:gridSpan w:val="2"/>
            <w:shd w:val="clear" w:color="auto" w:fill="auto"/>
            <w:vAlign w:val="bottom"/>
          </w:tcPr>
          <w:p>
            <w:pPr>
              <w:rPr>
                <w:rFonts w:hint="default" w:ascii="Arial" w:hAnsi="Arial" w:cs="Arial"/>
                <w:i w:val="0"/>
                <w:color w:val="000000"/>
                <w:sz w:val="20"/>
                <w:szCs w:val="20"/>
                <w:u w:val="none"/>
              </w:rPr>
            </w:pPr>
          </w:p>
        </w:tc>
        <w:tc>
          <w:tcPr>
            <w:tcW w:w="1035" w:type="dxa"/>
            <w:shd w:val="clear" w:color="auto" w:fill="auto"/>
            <w:vAlign w:val="bottom"/>
          </w:tcPr>
          <w:p>
            <w:pPr>
              <w:rPr>
                <w:rFonts w:hint="default" w:ascii="Arial" w:hAnsi="Arial" w:cs="Arial"/>
                <w:i w:val="0"/>
                <w:color w:val="000000"/>
                <w:sz w:val="20"/>
                <w:szCs w:val="20"/>
                <w:u w:val="none"/>
              </w:rPr>
            </w:pPr>
          </w:p>
        </w:tc>
        <w:tc>
          <w:tcPr>
            <w:tcW w:w="974" w:type="dxa"/>
            <w:shd w:val="clear" w:color="auto" w:fill="auto"/>
            <w:vAlign w:val="bottom"/>
          </w:tcPr>
          <w:p>
            <w:pPr>
              <w:rPr>
                <w:rFonts w:hint="default" w:ascii="Arial" w:hAnsi="Arial" w:cs="Arial"/>
                <w:i w:val="0"/>
                <w:color w:val="000000"/>
                <w:sz w:val="20"/>
                <w:szCs w:val="20"/>
                <w:u w:val="none"/>
              </w:rPr>
            </w:pPr>
          </w:p>
        </w:tc>
        <w:tc>
          <w:tcPr>
            <w:tcW w:w="1297" w:type="dxa"/>
            <w:gridSpan w:val="2"/>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635" w:type="dxa"/>
            <w:shd w:val="clear" w:color="auto" w:fill="auto"/>
            <w:vAlign w:val="bottom"/>
          </w:tcPr>
          <w:p>
            <w:pPr>
              <w:rPr>
                <w:rFonts w:hint="default" w:ascii="Arial" w:hAnsi="Arial" w:cs="Arial"/>
                <w:i w:val="0"/>
                <w:color w:val="000000"/>
                <w:sz w:val="20"/>
                <w:szCs w:val="20"/>
                <w:u w:val="none"/>
              </w:rPr>
            </w:pPr>
          </w:p>
        </w:tc>
        <w:tc>
          <w:tcPr>
            <w:tcW w:w="731" w:type="dxa"/>
            <w:shd w:val="clear" w:color="auto" w:fill="auto"/>
            <w:vAlign w:val="bottom"/>
          </w:tcPr>
          <w:p>
            <w:pPr>
              <w:rPr>
                <w:rFonts w:hint="default" w:ascii="Arial" w:hAnsi="Arial" w:cs="Arial"/>
                <w:i w:val="0"/>
                <w:color w:val="000000"/>
                <w:sz w:val="20"/>
                <w:szCs w:val="20"/>
                <w:u w:val="none"/>
              </w:rPr>
            </w:pPr>
          </w:p>
        </w:tc>
        <w:tc>
          <w:tcPr>
            <w:tcW w:w="864" w:type="dxa"/>
            <w:gridSpan w:val="2"/>
            <w:shd w:val="clear" w:color="auto" w:fill="auto"/>
            <w:vAlign w:val="bottom"/>
          </w:tcPr>
          <w:p>
            <w:pPr>
              <w:rPr>
                <w:rFonts w:hint="default" w:ascii="Arial" w:hAnsi="Arial" w:cs="Arial"/>
                <w:i w:val="0"/>
                <w:color w:val="000000"/>
                <w:sz w:val="20"/>
                <w:szCs w:val="20"/>
                <w:u w:val="none"/>
              </w:rPr>
            </w:pPr>
          </w:p>
        </w:tc>
        <w:tc>
          <w:tcPr>
            <w:tcW w:w="727"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3375" w:type="dxa"/>
            <w:gridSpan w:val="5"/>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03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974"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1297"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63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731"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864"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727"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5" w:hRule="atLeast"/>
        </w:trPr>
        <w:tc>
          <w:tcPr>
            <w:tcW w:w="1130"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245" w:type="dxa"/>
            <w:gridSpan w:val="2"/>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0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7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9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3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64"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2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5" w:hRule="atLeast"/>
        </w:trPr>
        <w:tc>
          <w:tcPr>
            <w:tcW w:w="1130"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45"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7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9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3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64"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2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5" w:hRule="atLeast"/>
        </w:trPr>
        <w:tc>
          <w:tcPr>
            <w:tcW w:w="1130"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45"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7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9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3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64"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2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430"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6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33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245"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03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97"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3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73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64"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72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430"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6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3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45"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1,172.15</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1,172.15</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430.17</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430.17</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418.13</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418.13</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418.13</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418.13</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群众团体事务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2012901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21.25</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21.25</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行政事业单位养老支出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15.37</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15.37</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其他行政事业单位养老支出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15.37</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15.37</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其他社会保障和就业支出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卫生健康管理事务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230.36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230.36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城乡社区管理事务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110.72</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110.72</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105.56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105.56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2120102</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城乡社区公共设施</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17.29</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17.29</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2120303</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小城镇基础设施建设</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15.73</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15.73</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国有土地使用权出让收入安排的支出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2120802</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土地开发支出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472.01</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472.01</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农业农村</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57.37</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57.37</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18.44</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18.44</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其他农业农村支出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38.93</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38.93</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21302</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林业和草原</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2130205</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森林资源培育</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扶贫</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323.15</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323.15</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2130504</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农村基础设施建设</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314.75</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314.75</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2130599</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其他扶贫支出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农村综合改革</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85.49</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85.49</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对村级公益事业建设的补助</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39.83</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39.83</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2130705</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对村民委员会和村党支部的补助</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45.66</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45.66</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自然资源海洋气象等支出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自然资源事务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26" w:hRule="atLeast"/>
        </w:trPr>
        <w:tc>
          <w:tcPr>
            <w:tcW w:w="113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2200101</w:t>
            </w:r>
          </w:p>
        </w:tc>
        <w:tc>
          <w:tcPr>
            <w:tcW w:w="22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97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29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6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92" w:type="dxa"/>
          <w:trHeight w:val="286" w:hRule="atLeast"/>
        </w:trPr>
        <w:tc>
          <w:tcPr>
            <w:tcW w:w="9638" w:type="dxa"/>
            <w:gridSpan w:val="14"/>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注：本表反映部门本年度取得的各项收入情况。</w:t>
            </w:r>
          </w:p>
        </w:tc>
      </w:tr>
    </w:tbl>
    <w:p>
      <w:pPr>
        <w:pStyle w:val="3"/>
        <w:keepNext w:val="0"/>
        <w:keepLines w:val="0"/>
        <w:widowControl/>
        <w:numPr>
          <w:ilvl w:val="0"/>
          <w:numId w:val="0"/>
        </w:numPr>
        <w:tabs>
          <w:tab w:val="left" w:pos="0"/>
        </w:tabs>
        <w:spacing w:beforeAutospacing="1" w:afterAutospacing="1" w:line="600" w:lineRule="exact"/>
        <w:jc w:val="left"/>
        <w:rPr>
          <w:rFonts w:ascii="宋体" w:hAnsi="宋体" w:eastAsia="宋体" w:cs="宋体"/>
          <w:b/>
          <w:bCs w:val="0"/>
          <w:kern w:val="2"/>
          <w:sz w:val="32"/>
          <w:szCs w:val="32"/>
          <w:lang w:val="en-US" w:eastAsia="zh-CN" w:bidi="ar"/>
        </w:rPr>
      </w:pPr>
    </w:p>
    <w:p>
      <w:pPr>
        <w:pStyle w:val="3"/>
        <w:keepNext w:val="0"/>
        <w:keepLines w:val="0"/>
        <w:widowControl/>
        <w:autoSpaceDE w:val="0"/>
        <w:autoSpaceDN w:val="0"/>
        <w:spacing w:beforeAutospacing="1" w:afterAutospacing="1" w:line="23" w:lineRule="atLeast"/>
        <w:jc w:val="left"/>
        <w:rPr>
          <w:rFonts w:ascii="Calibri" w:hAnsi="Calibri" w:cs="Calibri"/>
          <w:kern w:val="2"/>
          <w:sz w:val="21"/>
          <w:szCs w:val="21"/>
          <w:lang w:val="en-US" w:eastAsia="zh-CN" w:bidi="ar"/>
        </w:rPr>
      </w:pPr>
      <w:r>
        <w:rPr>
          <w:rFonts w:ascii="Calibri" w:hAnsi="Calibri" w:cs="Calibri"/>
          <w:kern w:val="2"/>
          <w:sz w:val="21"/>
          <w:szCs w:val="21"/>
          <w:lang w:val="en-US" w:eastAsia="zh-CN" w:bidi="ar"/>
        </w:rPr>
        <w:t> </w:t>
      </w:r>
    </w:p>
    <w:tbl>
      <w:tblPr>
        <w:tblStyle w:val="5"/>
        <w:tblW w:w="86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30"/>
        <w:gridCol w:w="389"/>
        <w:gridCol w:w="404"/>
        <w:gridCol w:w="2566"/>
        <w:gridCol w:w="1138"/>
        <w:gridCol w:w="1004"/>
        <w:gridCol w:w="705"/>
        <w:gridCol w:w="658"/>
        <w:gridCol w:w="673"/>
        <w:gridCol w:w="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8625" w:type="dxa"/>
            <w:gridSpan w:val="10"/>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30" w:type="dxa"/>
            <w:shd w:val="clear" w:color="auto" w:fill="auto"/>
            <w:vAlign w:val="bottom"/>
          </w:tcPr>
          <w:p>
            <w:pPr>
              <w:rPr>
                <w:rFonts w:hint="eastAsia" w:ascii="Arial" w:hAnsi="Arial" w:cs="Arial"/>
                <w:i w:val="0"/>
                <w:color w:val="000000"/>
                <w:sz w:val="20"/>
                <w:szCs w:val="20"/>
                <w:u w:val="none"/>
              </w:rPr>
            </w:pPr>
          </w:p>
        </w:tc>
        <w:tc>
          <w:tcPr>
            <w:tcW w:w="389" w:type="dxa"/>
            <w:shd w:val="clear" w:color="auto" w:fill="auto"/>
            <w:vAlign w:val="bottom"/>
          </w:tcPr>
          <w:p>
            <w:pPr>
              <w:rPr>
                <w:rFonts w:hint="default" w:ascii="Arial" w:hAnsi="Arial" w:cs="Arial"/>
                <w:i w:val="0"/>
                <w:color w:val="000000"/>
                <w:sz w:val="20"/>
                <w:szCs w:val="20"/>
                <w:u w:val="none"/>
              </w:rPr>
            </w:pPr>
          </w:p>
        </w:tc>
        <w:tc>
          <w:tcPr>
            <w:tcW w:w="404" w:type="dxa"/>
            <w:shd w:val="clear" w:color="auto" w:fill="auto"/>
            <w:vAlign w:val="bottom"/>
          </w:tcPr>
          <w:p>
            <w:pPr>
              <w:rPr>
                <w:rFonts w:hint="default" w:ascii="Arial" w:hAnsi="Arial" w:cs="Arial"/>
                <w:i w:val="0"/>
                <w:color w:val="000000"/>
                <w:sz w:val="20"/>
                <w:szCs w:val="20"/>
                <w:u w:val="none"/>
              </w:rPr>
            </w:pPr>
          </w:p>
        </w:tc>
        <w:tc>
          <w:tcPr>
            <w:tcW w:w="2566" w:type="dxa"/>
            <w:shd w:val="clear" w:color="auto" w:fill="auto"/>
            <w:vAlign w:val="bottom"/>
          </w:tcPr>
          <w:p>
            <w:pPr>
              <w:rPr>
                <w:rFonts w:hint="default" w:ascii="Arial" w:hAnsi="Arial" w:cs="Arial"/>
                <w:i w:val="0"/>
                <w:color w:val="000000"/>
                <w:sz w:val="20"/>
                <w:szCs w:val="20"/>
                <w:u w:val="none"/>
              </w:rPr>
            </w:pPr>
          </w:p>
        </w:tc>
        <w:tc>
          <w:tcPr>
            <w:tcW w:w="1138" w:type="dxa"/>
            <w:shd w:val="clear" w:color="auto" w:fill="auto"/>
            <w:vAlign w:val="bottom"/>
          </w:tcPr>
          <w:p>
            <w:pPr>
              <w:rPr>
                <w:rFonts w:hint="default" w:ascii="Arial" w:hAnsi="Arial" w:cs="Arial"/>
                <w:i w:val="0"/>
                <w:color w:val="000000"/>
                <w:sz w:val="20"/>
                <w:szCs w:val="20"/>
                <w:u w:val="none"/>
              </w:rPr>
            </w:pPr>
          </w:p>
        </w:tc>
        <w:tc>
          <w:tcPr>
            <w:tcW w:w="1004" w:type="dxa"/>
            <w:shd w:val="clear" w:color="auto" w:fill="auto"/>
            <w:vAlign w:val="bottom"/>
          </w:tcPr>
          <w:p>
            <w:pPr>
              <w:rPr>
                <w:rFonts w:hint="default" w:ascii="Arial" w:hAnsi="Arial" w:cs="Arial"/>
                <w:i w:val="0"/>
                <w:color w:val="000000"/>
                <w:sz w:val="20"/>
                <w:szCs w:val="20"/>
                <w:u w:val="none"/>
              </w:rPr>
            </w:pPr>
          </w:p>
        </w:tc>
        <w:tc>
          <w:tcPr>
            <w:tcW w:w="705" w:type="dxa"/>
            <w:shd w:val="clear" w:color="auto" w:fill="auto"/>
            <w:vAlign w:val="bottom"/>
          </w:tcPr>
          <w:p>
            <w:pPr>
              <w:rPr>
                <w:rFonts w:hint="default" w:ascii="Arial" w:hAnsi="Arial" w:cs="Arial"/>
                <w:i w:val="0"/>
                <w:color w:val="000000"/>
                <w:sz w:val="20"/>
                <w:szCs w:val="20"/>
                <w:u w:val="none"/>
              </w:rPr>
            </w:pPr>
          </w:p>
        </w:tc>
        <w:tc>
          <w:tcPr>
            <w:tcW w:w="658" w:type="dxa"/>
            <w:shd w:val="clear" w:color="auto" w:fill="auto"/>
            <w:vAlign w:val="bottom"/>
          </w:tcPr>
          <w:p>
            <w:pPr>
              <w:rPr>
                <w:rFonts w:hint="default" w:ascii="Arial" w:hAnsi="Arial" w:cs="Arial"/>
                <w:i w:val="0"/>
                <w:color w:val="000000"/>
                <w:sz w:val="20"/>
                <w:szCs w:val="20"/>
                <w:u w:val="none"/>
              </w:rPr>
            </w:pPr>
          </w:p>
        </w:tc>
        <w:tc>
          <w:tcPr>
            <w:tcW w:w="673" w:type="dxa"/>
            <w:shd w:val="clear" w:color="auto" w:fill="auto"/>
            <w:vAlign w:val="bottom"/>
          </w:tcPr>
          <w:p>
            <w:pPr>
              <w:rPr>
                <w:rFonts w:hint="default" w:ascii="Arial" w:hAnsi="Arial" w:cs="Arial"/>
                <w:i w:val="0"/>
                <w:color w:val="000000"/>
                <w:sz w:val="20"/>
                <w:szCs w:val="20"/>
                <w:u w:val="none"/>
              </w:rPr>
            </w:pPr>
          </w:p>
        </w:tc>
        <w:tc>
          <w:tcPr>
            <w:tcW w:w="65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30"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389" w:type="dxa"/>
            <w:shd w:val="clear" w:color="auto" w:fill="auto"/>
            <w:vAlign w:val="bottom"/>
          </w:tcPr>
          <w:p>
            <w:pPr>
              <w:rPr>
                <w:rFonts w:hint="default" w:ascii="Arial" w:hAnsi="Arial" w:cs="Arial"/>
                <w:i w:val="0"/>
                <w:color w:val="000000"/>
                <w:sz w:val="20"/>
                <w:szCs w:val="20"/>
                <w:u w:val="none"/>
              </w:rPr>
            </w:pPr>
          </w:p>
        </w:tc>
        <w:tc>
          <w:tcPr>
            <w:tcW w:w="404" w:type="dxa"/>
            <w:shd w:val="clear" w:color="auto" w:fill="auto"/>
            <w:vAlign w:val="bottom"/>
          </w:tcPr>
          <w:p>
            <w:pPr>
              <w:rPr>
                <w:rFonts w:hint="default" w:ascii="Arial" w:hAnsi="Arial" w:cs="Arial"/>
                <w:i w:val="0"/>
                <w:color w:val="000000"/>
                <w:sz w:val="20"/>
                <w:szCs w:val="20"/>
                <w:u w:val="none"/>
              </w:rPr>
            </w:pPr>
          </w:p>
        </w:tc>
        <w:tc>
          <w:tcPr>
            <w:tcW w:w="2566" w:type="dxa"/>
            <w:shd w:val="clear" w:color="auto" w:fill="auto"/>
            <w:vAlign w:val="bottom"/>
          </w:tcPr>
          <w:p>
            <w:pPr>
              <w:rPr>
                <w:rFonts w:hint="default" w:ascii="Arial" w:hAnsi="Arial" w:cs="Arial"/>
                <w:i w:val="0"/>
                <w:color w:val="000000"/>
                <w:sz w:val="20"/>
                <w:szCs w:val="20"/>
                <w:u w:val="none"/>
              </w:rPr>
            </w:pPr>
          </w:p>
        </w:tc>
        <w:tc>
          <w:tcPr>
            <w:tcW w:w="1138" w:type="dxa"/>
            <w:shd w:val="clear" w:color="auto" w:fill="auto"/>
            <w:vAlign w:val="bottom"/>
          </w:tcPr>
          <w:p>
            <w:pPr>
              <w:rPr>
                <w:rFonts w:hint="default" w:ascii="Arial" w:hAnsi="Arial" w:cs="Arial"/>
                <w:i w:val="0"/>
                <w:color w:val="000000"/>
                <w:sz w:val="20"/>
                <w:szCs w:val="20"/>
                <w:u w:val="none"/>
              </w:rPr>
            </w:pPr>
          </w:p>
        </w:tc>
        <w:tc>
          <w:tcPr>
            <w:tcW w:w="1004"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705" w:type="dxa"/>
            <w:shd w:val="clear" w:color="auto" w:fill="auto"/>
            <w:vAlign w:val="bottom"/>
          </w:tcPr>
          <w:p>
            <w:pPr>
              <w:rPr>
                <w:rFonts w:hint="default" w:ascii="Arial" w:hAnsi="Arial" w:cs="Arial"/>
                <w:i w:val="0"/>
                <w:color w:val="000000"/>
                <w:sz w:val="20"/>
                <w:szCs w:val="20"/>
                <w:u w:val="none"/>
              </w:rPr>
            </w:pPr>
          </w:p>
        </w:tc>
        <w:tc>
          <w:tcPr>
            <w:tcW w:w="658" w:type="dxa"/>
            <w:shd w:val="clear" w:color="auto" w:fill="auto"/>
            <w:vAlign w:val="bottom"/>
          </w:tcPr>
          <w:p>
            <w:pPr>
              <w:rPr>
                <w:rFonts w:hint="default" w:ascii="Arial" w:hAnsi="Arial" w:cs="Arial"/>
                <w:i w:val="0"/>
                <w:color w:val="000000"/>
                <w:sz w:val="20"/>
                <w:szCs w:val="20"/>
                <w:u w:val="none"/>
              </w:rPr>
            </w:pPr>
          </w:p>
        </w:tc>
        <w:tc>
          <w:tcPr>
            <w:tcW w:w="673" w:type="dxa"/>
            <w:shd w:val="clear" w:color="auto" w:fill="auto"/>
            <w:vAlign w:val="bottom"/>
          </w:tcPr>
          <w:p>
            <w:pPr>
              <w:rPr>
                <w:rFonts w:hint="default" w:ascii="Arial" w:hAnsi="Arial" w:cs="Arial"/>
                <w:i w:val="0"/>
                <w:color w:val="000000"/>
                <w:sz w:val="20"/>
                <w:szCs w:val="20"/>
                <w:u w:val="none"/>
              </w:rPr>
            </w:pPr>
          </w:p>
        </w:tc>
        <w:tc>
          <w:tcPr>
            <w:tcW w:w="65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3789"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138"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004"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70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658"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67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658"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1223"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56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13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0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0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5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7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5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1223"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6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3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0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0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5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7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5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223"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6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3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0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0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5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7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5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430"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89"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404"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56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13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70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5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7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5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430"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89"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04"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6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1,147.31</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910.61</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群众团体事务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2012901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文化旅游体育与传媒支出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其他文化旅游体育与传媒支出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2079903</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文化产业发展专项支出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行政事业单位养老支出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其他行政事业单位养老支出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20820</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临时救助</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2082001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临时救助支出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其他社会保障和就业支出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卫生健康管理事务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节能环保支出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环境保护管理事务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2110199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其他环境保护管理事务支出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21104</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自然生态保护</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2110402</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农村环境保护</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320.19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112.29</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207.90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城乡社区管理事务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110.72</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110.72</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105.56</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105.56</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2120102</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城乡社区公共设施</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22.11</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2120303</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小城镇基础设施建设</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国有土地使用权出让收入安排的支出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征地和拆迁补偿支出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2120802</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土地开发支出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987.74</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348.92</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638.82</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农业农村</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545.40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240.68</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304.71</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18.44</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18.44</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2130108</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病虫害控制</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4.57</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4.57</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其他农业农村支出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522.39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222.24</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300.15</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21302</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林业和草原</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2130205</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森林资源培育</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水利</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2130316</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农村水利</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扶贫</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331.37</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321.57</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2130504</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农村基础设施建设</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314.75</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314.75</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2130599</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其他扶贫支出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15.23</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6.83</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农村综合改革</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104.88</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98.44</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6.44</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对村级公益事业建设的补助</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46.27</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39.83</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6.44</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2130705</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对村民委员会和村党支部的补助</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58.61</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58.61</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自然资源海洋气象等支出</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自然资源事务</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22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2200101</w:t>
            </w:r>
          </w:p>
        </w:tc>
        <w:tc>
          <w:tcPr>
            <w:tcW w:w="256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00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7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625"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注：本表反映部门本年度各项支出情况。</w:t>
            </w:r>
          </w:p>
        </w:tc>
      </w:tr>
    </w:tbl>
    <w:p>
      <w:pPr>
        <w:pStyle w:val="3"/>
        <w:keepNext w:val="0"/>
        <w:keepLines w:val="0"/>
        <w:widowControl/>
        <w:autoSpaceDE w:val="0"/>
        <w:autoSpaceDN w:val="0"/>
        <w:spacing w:beforeAutospacing="1" w:afterAutospacing="1" w:line="23" w:lineRule="atLeast"/>
        <w:jc w:val="left"/>
      </w:pPr>
    </w:p>
    <w:p>
      <w:pPr>
        <w:pStyle w:val="3"/>
        <w:keepNext w:val="0"/>
        <w:keepLines w:val="0"/>
        <w:widowControl/>
        <w:autoSpaceDE w:val="0"/>
        <w:autoSpaceDN w:val="0"/>
        <w:spacing w:beforeAutospacing="1" w:afterAutospacing="1" w:line="23" w:lineRule="atLeast"/>
        <w:jc w:val="left"/>
      </w:pPr>
      <w:r>
        <w:rPr>
          <w:rFonts w:ascii="Calibri" w:hAnsi="Calibri" w:cs="Calibri"/>
          <w:kern w:val="2"/>
          <w:sz w:val="21"/>
          <w:szCs w:val="21"/>
          <w:lang w:val="en-US" w:eastAsia="zh-CN" w:bidi="ar"/>
        </w:rPr>
        <w:t> </w:t>
      </w:r>
    </w:p>
    <w:p>
      <w:pPr>
        <w:pStyle w:val="3"/>
        <w:keepNext w:val="0"/>
        <w:keepLines w:val="0"/>
        <w:widowControl/>
        <w:autoSpaceDE w:val="0"/>
        <w:autoSpaceDN w:val="0"/>
        <w:spacing w:beforeAutospacing="1" w:afterAutospacing="1" w:line="23" w:lineRule="atLeast"/>
        <w:jc w:val="left"/>
        <w:rPr>
          <w:rFonts w:ascii="Calibri" w:hAnsi="Calibri" w:cs="Calibri"/>
          <w:kern w:val="2"/>
          <w:sz w:val="21"/>
          <w:szCs w:val="21"/>
          <w:lang w:val="en-US" w:eastAsia="zh-CN" w:bidi="ar"/>
        </w:rPr>
      </w:pPr>
      <w:r>
        <w:rPr>
          <w:rFonts w:ascii="Calibri" w:hAnsi="Calibri" w:cs="Calibri"/>
          <w:kern w:val="2"/>
          <w:sz w:val="21"/>
          <w:szCs w:val="21"/>
          <w:lang w:val="en-US" w:eastAsia="zh-CN" w:bidi="ar"/>
        </w:rPr>
        <w:t> </w:t>
      </w:r>
    </w:p>
    <w:tbl>
      <w:tblPr>
        <w:tblStyle w:val="5"/>
        <w:tblW w:w="87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30"/>
        <w:gridCol w:w="369"/>
        <w:gridCol w:w="357"/>
        <w:gridCol w:w="232"/>
        <w:gridCol w:w="370"/>
        <w:gridCol w:w="1331"/>
        <w:gridCol w:w="452"/>
        <w:gridCol w:w="1320"/>
        <w:gridCol w:w="370"/>
        <w:gridCol w:w="1088"/>
        <w:gridCol w:w="937"/>
        <w:gridCol w:w="783"/>
        <w:gridCol w:w="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8775" w:type="dxa"/>
            <w:gridSpan w:val="13"/>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388" w:type="dxa"/>
            <w:gridSpan w:val="4"/>
            <w:shd w:val="clear" w:color="auto" w:fill="auto"/>
            <w:vAlign w:val="bottom"/>
          </w:tcPr>
          <w:p>
            <w:pPr>
              <w:rPr>
                <w:rFonts w:hint="eastAsia" w:ascii="Arial" w:hAnsi="Arial" w:cs="Arial"/>
                <w:i w:val="0"/>
                <w:color w:val="000000"/>
                <w:sz w:val="20"/>
                <w:szCs w:val="20"/>
                <w:u w:val="none"/>
              </w:rPr>
            </w:pPr>
          </w:p>
        </w:tc>
        <w:tc>
          <w:tcPr>
            <w:tcW w:w="370" w:type="dxa"/>
            <w:shd w:val="clear" w:color="auto" w:fill="auto"/>
            <w:vAlign w:val="bottom"/>
          </w:tcPr>
          <w:p>
            <w:pPr>
              <w:rPr>
                <w:rFonts w:hint="default" w:ascii="Arial" w:hAnsi="Arial" w:cs="Arial"/>
                <w:i w:val="0"/>
                <w:color w:val="000000"/>
                <w:sz w:val="20"/>
                <w:szCs w:val="20"/>
                <w:u w:val="none"/>
              </w:rPr>
            </w:pPr>
          </w:p>
        </w:tc>
        <w:tc>
          <w:tcPr>
            <w:tcW w:w="1331" w:type="dxa"/>
            <w:shd w:val="clear" w:color="auto" w:fill="auto"/>
            <w:vAlign w:val="bottom"/>
          </w:tcPr>
          <w:p>
            <w:pPr>
              <w:rPr>
                <w:rFonts w:hint="default" w:ascii="Arial" w:hAnsi="Arial" w:cs="Arial"/>
                <w:i w:val="0"/>
                <w:color w:val="000000"/>
                <w:sz w:val="20"/>
                <w:szCs w:val="20"/>
                <w:u w:val="none"/>
              </w:rPr>
            </w:pPr>
          </w:p>
        </w:tc>
        <w:tc>
          <w:tcPr>
            <w:tcW w:w="1772" w:type="dxa"/>
            <w:gridSpan w:val="2"/>
            <w:shd w:val="clear" w:color="auto" w:fill="auto"/>
            <w:vAlign w:val="bottom"/>
          </w:tcPr>
          <w:p>
            <w:pPr>
              <w:rPr>
                <w:rFonts w:hint="default" w:ascii="Arial" w:hAnsi="Arial" w:cs="Arial"/>
                <w:i w:val="0"/>
                <w:color w:val="000000"/>
                <w:sz w:val="20"/>
                <w:szCs w:val="20"/>
                <w:u w:val="none"/>
              </w:rPr>
            </w:pPr>
          </w:p>
        </w:tc>
        <w:tc>
          <w:tcPr>
            <w:tcW w:w="370" w:type="dxa"/>
            <w:shd w:val="clear" w:color="auto" w:fill="auto"/>
            <w:vAlign w:val="bottom"/>
          </w:tcPr>
          <w:p>
            <w:pPr>
              <w:rPr>
                <w:rFonts w:hint="default" w:ascii="Arial" w:hAnsi="Arial" w:cs="Arial"/>
                <w:i w:val="0"/>
                <w:color w:val="000000"/>
                <w:sz w:val="20"/>
                <w:szCs w:val="20"/>
                <w:u w:val="none"/>
              </w:rPr>
            </w:pPr>
          </w:p>
        </w:tc>
        <w:tc>
          <w:tcPr>
            <w:tcW w:w="1088" w:type="dxa"/>
            <w:shd w:val="clear" w:color="auto" w:fill="auto"/>
            <w:vAlign w:val="bottom"/>
          </w:tcPr>
          <w:p>
            <w:pPr>
              <w:rPr>
                <w:rFonts w:hint="default" w:ascii="Arial" w:hAnsi="Arial" w:cs="Arial"/>
                <w:i w:val="0"/>
                <w:color w:val="000000"/>
                <w:sz w:val="20"/>
                <w:szCs w:val="20"/>
                <w:u w:val="none"/>
              </w:rPr>
            </w:pPr>
          </w:p>
        </w:tc>
        <w:tc>
          <w:tcPr>
            <w:tcW w:w="937" w:type="dxa"/>
            <w:shd w:val="clear" w:color="auto" w:fill="auto"/>
            <w:vAlign w:val="bottom"/>
          </w:tcPr>
          <w:p>
            <w:pPr>
              <w:rPr>
                <w:rFonts w:hint="default" w:ascii="Arial" w:hAnsi="Arial" w:cs="Arial"/>
                <w:i w:val="0"/>
                <w:color w:val="000000"/>
                <w:sz w:val="20"/>
                <w:szCs w:val="20"/>
                <w:u w:val="none"/>
              </w:rPr>
            </w:pPr>
          </w:p>
        </w:tc>
        <w:tc>
          <w:tcPr>
            <w:tcW w:w="783" w:type="dxa"/>
            <w:shd w:val="clear" w:color="auto" w:fill="auto"/>
            <w:vAlign w:val="bottom"/>
          </w:tcPr>
          <w:p>
            <w:pPr>
              <w:rPr>
                <w:rFonts w:hint="default" w:ascii="Arial" w:hAnsi="Arial" w:cs="Arial"/>
                <w:i w:val="0"/>
                <w:color w:val="000000"/>
                <w:sz w:val="20"/>
                <w:szCs w:val="20"/>
                <w:u w:val="none"/>
              </w:rPr>
            </w:pPr>
          </w:p>
        </w:tc>
        <w:tc>
          <w:tcPr>
            <w:tcW w:w="73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388"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370" w:type="dxa"/>
            <w:shd w:val="clear" w:color="auto" w:fill="auto"/>
            <w:vAlign w:val="bottom"/>
          </w:tcPr>
          <w:p>
            <w:pPr>
              <w:rPr>
                <w:rFonts w:hint="default" w:ascii="Arial" w:hAnsi="Arial" w:cs="Arial"/>
                <w:i w:val="0"/>
                <w:color w:val="000000"/>
                <w:sz w:val="20"/>
                <w:szCs w:val="20"/>
                <w:u w:val="none"/>
              </w:rPr>
            </w:pPr>
          </w:p>
        </w:tc>
        <w:tc>
          <w:tcPr>
            <w:tcW w:w="1331" w:type="dxa"/>
            <w:shd w:val="clear" w:color="auto" w:fill="auto"/>
            <w:vAlign w:val="bottom"/>
          </w:tcPr>
          <w:p>
            <w:pPr>
              <w:rPr>
                <w:rFonts w:hint="default" w:ascii="Arial" w:hAnsi="Arial" w:cs="Arial"/>
                <w:i w:val="0"/>
                <w:color w:val="000000"/>
                <w:sz w:val="20"/>
                <w:szCs w:val="20"/>
                <w:u w:val="none"/>
              </w:rPr>
            </w:pPr>
          </w:p>
        </w:tc>
        <w:tc>
          <w:tcPr>
            <w:tcW w:w="1772"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370" w:type="dxa"/>
            <w:shd w:val="clear" w:color="auto" w:fill="auto"/>
            <w:vAlign w:val="bottom"/>
          </w:tcPr>
          <w:p>
            <w:pPr>
              <w:rPr>
                <w:rFonts w:hint="default" w:ascii="Arial" w:hAnsi="Arial" w:cs="Arial"/>
                <w:i w:val="0"/>
                <w:color w:val="000000"/>
                <w:sz w:val="20"/>
                <w:szCs w:val="20"/>
                <w:u w:val="none"/>
              </w:rPr>
            </w:pPr>
          </w:p>
        </w:tc>
        <w:tc>
          <w:tcPr>
            <w:tcW w:w="1088" w:type="dxa"/>
            <w:shd w:val="clear" w:color="auto" w:fill="auto"/>
            <w:vAlign w:val="bottom"/>
          </w:tcPr>
          <w:p>
            <w:pPr>
              <w:rPr>
                <w:rFonts w:hint="default" w:ascii="Arial" w:hAnsi="Arial" w:cs="Arial"/>
                <w:i w:val="0"/>
                <w:color w:val="000000"/>
                <w:sz w:val="20"/>
                <w:szCs w:val="20"/>
                <w:u w:val="none"/>
              </w:rPr>
            </w:pPr>
          </w:p>
        </w:tc>
        <w:tc>
          <w:tcPr>
            <w:tcW w:w="937" w:type="dxa"/>
            <w:shd w:val="clear" w:color="auto" w:fill="auto"/>
            <w:vAlign w:val="bottom"/>
          </w:tcPr>
          <w:p>
            <w:pPr>
              <w:rPr>
                <w:rFonts w:hint="default" w:ascii="Arial" w:hAnsi="Arial" w:cs="Arial"/>
                <w:i w:val="0"/>
                <w:color w:val="000000"/>
                <w:sz w:val="20"/>
                <w:szCs w:val="20"/>
                <w:u w:val="none"/>
              </w:rPr>
            </w:pPr>
          </w:p>
        </w:tc>
        <w:tc>
          <w:tcPr>
            <w:tcW w:w="783" w:type="dxa"/>
            <w:shd w:val="clear" w:color="auto" w:fill="auto"/>
            <w:vAlign w:val="bottom"/>
          </w:tcPr>
          <w:p>
            <w:pPr>
              <w:rPr>
                <w:rFonts w:hint="default" w:ascii="Arial" w:hAnsi="Arial" w:cs="Arial"/>
                <w:i w:val="0"/>
                <w:color w:val="000000"/>
                <w:sz w:val="20"/>
                <w:szCs w:val="20"/>
                <w:u w:val="none"/>
              </w:rPr>
            </w:pPr>
          </w:p>
        </w:tc>
        <w:tc>
          <w:tcPr>
            <w:tcW w:w="73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3089"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5686" w:type="dxa"/>
            <w:gridSpan w:val="7"/>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1388" w:type="dxa"/>
            <w:gridSpan w:val="4"/>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370"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331"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1772" w:type="dxa"/>
            <w:gridSpan w:val="2"/>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项目（按功能分类）</w:t>
            </w:r>
          </w:p>
        </w:tc>
        <w:tc>
          <w:tcPr>
            <w:tcW w:w="370"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08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37"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783"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c>
          <w:tcPr>
            <w:tcW w:w="73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1388" w:type="dxa"/>
            <w:gridSpan w:val="4"/>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3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72"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7"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83"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3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370"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3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370"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3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8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73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1,069.81</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320.19</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132.83</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987.74</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987.74</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b/>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31"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1,172.15</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1,870.55</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885.77</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800.75</w:t>
            </w:r>
          </w:p>
        </w:tc>
        <w:tc>
          <w:tcPr>
            <w:tcW w:w="1772" w:type="dxa"/>
            <w:gridSpan w:val="2"/>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088"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7"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83"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36"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1772" w:type="dxa"/>
            <w:gridSpan w:val="2"/>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b/>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088"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7"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83"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36"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72" w:type="dxa"/>
            <w:gridSpan w:val="2"/>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b/>
                <w:i w:val="0"/>
                <w:color w:val="000000"/>
                <w:sz w:val="22"/>
                <w:szCs w:val="22"/>
                <w:u w:val="none"/>
              </w:rPr>
            </w:pP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088"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7"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83"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36"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1388"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33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c>
          <w:tcPr>
            <w:tcW w:w="1772"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08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2,057.92</w:t>
            </w:r>
          </w:p>
        </w:tc>
        <w:tc>
          <w:tcPr>
            <w:tcW w:w="93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1,870.55</w:t>
            </w:r>
          </w:p>
        </w:tc>
        <w:tc>
          <w:tcPr>
            <w:tcW w:w="78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73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775" w:type="dxa"/>
            <w:gridSpan w:val="13"/>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540" w:hRule="atLeast"/>
        </w:trPr>
        <w:tc>
          <w:tcPr>
            <w:tcW w:w="8039" w:type="dxa"/>
            <w:gridSpan w:val="12"/>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86" w:hRule="atLeast"/>
        </w:trPr>
        <w:tc>
          <w:tcPr>
            <w:tcW w:w="430" w:type="dxa"/>
            <w:shd w:val="clear" w:color="auto" w:fill="auto"/>
            <w:vAlign w:val="bottom"/>
          </w:tcPr>
          <w:p>
            <w:pPr>
              <w:rPr>
                <w:rFonts w:hint="eastAsia" w:ascii="Arial" w:hAnsi="Arial" w:cs="Arial"/>
                <w:i w:val="0"/>
                <w:color w:val="000000"/>
                <w:sz w:val="20"/>
                <w:szCs w:val="20"/>
                <w:u w:val="none"/>
              </w:rPr>
            </w:pPr>
          </w:p>
        </w:tc>
        <w:tc>
          <w:tcPr>
            <w:tcW w:w="369" w:type="dxa"/>
            <w:shd w:val="clear" w:color="auto" w:fill="auto"/>
            <w:vAlign w:val="bottom"/>
          </w:tcPr>
          <w:p>
            <w:pPr>
              <w:rPr>
                <w:rFonts w:hint="default" w:ascii="Arial" w:hAnsi="Arial" w:cs="Arial"/>
                <w:i w:val="0"/>
                <w:color w:val="000000"/>
                <w:sz w:val="20"/>
                <w:szCs w:val="20"/>
                <w:u w:val="none"/>
              </w:rPr>
            </w:pPr>
          </w:p>
        </w:tc>
        <w:tc>
          <w:tcPr>
            <w:tcW w:w="357" w:type="dxa"/>
            <w:shd w:val="clear" w:color="auto" w:fill="auto"/>
            <w:vAlign w:val="bottom"/>
          </w:tcPr>
          <w:p>
            <w:pPr>
              <w:rPr>
                <w:rFonts w:hint="default" w:ascii="Arial" w:hAnsi="Arial" w:cs="Arial"/>
                <w:i w:val="0"/>
                <w:color w:val="000000"/>
                <w:sz w:val="20"/>
                <w:szCs w:val="20"/>
                <w:u w:val="none"/>
              </w:rPr>
            </w:pPr>
          </w:p>
        </w:tc>
        <w:tc>
          <w:tcPr>
            <w:tcW w:w="2385" w:type="dxa"/>
            <w:gridSpan w:val="4"/>
            <w:shd w:val="clear" w:color="auto" w:fill="auto"/>
            <w:vAlign w:val="bottom"/>
          </w:tcPr>
          <w:p>
            <w:pPr>
              <w:rPr>
                <w:rFonts w:hint="default" w:ascii="Arial" w:hAnsi="Arial" w:cs="Arial"/>
                <w:i w:val="0"/>
                <w:color w:val="000000"/>
                <w:sz w:val="20"/>
                <w:szCs w:val="20"/>
                <w:u w:val="none"/>
              </w:rPr>
            </w:pPr>
          </w:p>
        </w:tc>
        <w:tc>
          <w:tcPr>
            <w:tcW w:w="1320" w:type="dxa"/>
            <w:shd w:val="clear" w:color="auto" w:fill="auto"/>
            <w:vAlign w:val="bottom"/>
          </w:tcPr>
          <w:p>
            <w:pPr>
              <w:rPr>
                <w:rFonts w:hint="default" w:ascii="Arial" w:hAnsi="Arial" w:cs="Arial"/>
                <w:i w:val="0"/>
                <w:color w:val="000000"/>
                <w:sz w:val="20"/>
                <w:szCs w:val="20"/>
                <w:u w:val="none"/>
              </w:rPr>
            </w:pPr>
          </w:p>
        </w:tc>
        <w:tc>
          <w:tcPr>
            <w:tcW w:w="1458" w:type="dxa"/>
            <w:gridSpan w:val="2"/>
            <w:shd w:val="clear" w:color="auto" w:fill="auto"/>
            <w:vAlign w:val="bottom"/>
          </w:tcPr>
          <w:p>
            <w:pPr>
              <w:rPr>
                <w:rFonts w:hint="default" w:ascii="Arial" w:hAnsi="Arial" w:cs="Arial"/>
                <w:i w:val="0"/>
                <w:color w:val="000000"/>
                <w:sz w:val="20"/>
                <w:szCs w:val="20"/>
                <w:u w:val="none"/>
              </w:rPr>
            </w:pPr>
          </w:p>
        </w:tc>
        <w:tc>
          <w:tcPr>
            <w:tcW w:w="1720"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86" w:hRule="atLeast"/>
        </w:trPr>
        <w:tc>
          <w:tcPr>
            <w:tcW w:w="430"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369" w:type="dxa"/>
            <w:shd w:val="clear" w:color="auto" w:fill="auto"/>
            <w:vAlign w:val="bottom"/>
          </w:tcPr>
          <w:p>
            <w:pPr>
              <w:rPr>
                <w:rFonts w:hint="default" w:ascii="Arial" w:hAnsi="Arial" w:cs="Arial"/>
                <w:i w:val="0"/>
                <w:color w:val="000000"/>
                <w:sz w:val="20"/>
                <w:szCs w:val="20"/>
                <w:u w:val="none"/>
              </w:rPr>
            </w:pPr>
          </w:p>
        </w:tc>
        <w:tc>
          <w:tcPr>
            <w:tcW w:w="357" w:type="dxa"/>
            <w:shd w:val="clear" w:color="auto" w:fill="auto"/>
            <w:vAlign w:val="bottom"/>
          </w:tcPr>
          <w:p>
            <w:pPr>
              <w:rPr>
                <w:rFonts w:hint="default" w:ascii="Arial" w:hAnsi="Arial" w:cs="Arial"/>
                <w:i w:val="0"/>
                <w:color w:val="000000"/>
                <w:sz w:val="20"/>
                <w:szCs w:val="20"/>
                <w:u w:val="none"/>
              </w:rPr>
            </w:pPr>
          </w:p>
        </w:tc>
        <w:tc>
          <w:tcPr>
            <w:tcW w:w="2385" w:type="dxa"/>
            <w:gridSpan w:val="4"/>
            <w:shd w:val="clear" w:color="auto" w:fill="auto"/>
            <w:vAlign w:val="bottom"/>
          </w:tcPr>
          <w:p>
            <w:pPr>
              <w:rPr>
                <w:rFonts w:hint="default" w:ascii="Arial" w:hAnsi="Arial" w:cs="Arial"/>
                <w:i w:val="0"/>
                <w:color w:val="000000"/>
                <w:sz w:val="20"/>
                <w:szCs w:val="20"/>
                <w:u w:val="none"/>
              </w:rPr>
            </w:pPr>
          </w:p>
        </w:tc>
        <w:tc>
          <w:tcPr>
            <w:tcW w:w="1320"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1458" w:type="dxa"/>
            <w:gridSpan w:val="2"/>
            <w:shd w:val="clear" w:color="auto" w:fill="auto"/>
            <w:vAlign w:val="bottom"/>
          </w:tcPr>
          <w:p>
            <w:pPr>
              <w:rPr>
                <w:rFonts w:hint="default" w:ascii="Arial" w:hAnsi="Arial" w:cs="Arial"/>
                <w:i w:val="0"/>
                <w:color w:val="000000"/>
                <w:sz w:val="20"/>
                <w:szCs w:val="20"/>
                <w:u w:val="none"/>
              </w:rPr>
            </w:pPr>
          </w:p>
        </w:tc>
        <w:tc>
          <w:tcPr>
            <w:tcW w:w="1720"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56" w:hRule="atLeast"/>
        </w:trPr>
        <w:tc>
          <w:tcPr>
            <w:tcW w:w="3541" w:type="dxa"/>
            <w:gridSpan w:val="7"/>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32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458"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720"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5" w:hRule="atLeast"/>
        </w:trPr>
        <w:tc>
          <w:tcPr>
            <w:tcW w:w="1156"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385" w:type="dxa"/>
            <w:gridSpan w:val="4"/>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2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58"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20"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10" w:hRule="atLeast"/>
        </w:trPr>
        <w:tc>
          <w:tcPr>
            <w:tcW w:w="1156"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385" w:type="dxa"/>
            <w:gridSpan w:val="4"/>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2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58"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20"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5" w:hRule="atLeast"/>
        </w:trPr>
        <w:tc>
          <w:tcPr>
            <w:tcW w:w="1156"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385" w:type="dxa"/>
            <w:gridSpan w:val="4"/>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2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58"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20"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56" w:hRule="atLeast"/>
        </w:trPr>
        <w:tc>
          <w:tcPr>
            <w:tcW w:w="430"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69"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357"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385"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32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58"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720"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430"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69"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57"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385"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1,870.55</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1,147.31</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632.54</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620.50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群众团体事务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2012901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12.04</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文化旅游体育与传媒支出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其他文化旅游体育与传媒支出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2079903</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文化产业发展专项支出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行政事业单位养老支出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其他行政事业单位养老支出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20820</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临时救助</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2082001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临时救助支出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其他社会保障和就业支出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2089999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5.88</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卫生健康管理事务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节能环保支出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环境保护管理事务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2110199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其他环境保护管理事务支出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21104</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自然生态保护</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2110402</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农村环境保护</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132.83</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112.29</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城乡社区管理事务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110.72</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110.72</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105.56</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105.56</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2120102</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城乡社区公共设施</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22.11</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2120303</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小城镇基础设施建设</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987.74</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348.92</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农业农村</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545.40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240.68</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18.44</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18.44</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2130108</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病虫害控制</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4.57</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其他农业农村支出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522.39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222.24</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21302</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林业和草原</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2130205</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森林资源培育</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水利</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2130316</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农村水利</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扶贫</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331.37</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2130504</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农村基础设施建设</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314.75</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2130599</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其他扶贫支出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15.23</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农村综合改革</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104.88</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98.44</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对村级公益事业建设的补助</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46.27</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39.83</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2130705</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对村民委员会和村党支部的补助</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58.61</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58.61</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自然资源海洋气象等支出</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自然资源事务</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26" w:hRule="atLeast"/>
        </w:trPr>
        <w:tc>
          <w:tcPr>
            <w:tcW w:w="1156"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2200101</w:t>
            </w:r>
          </w:p>
        </w:tc>
        <w:tc>
          <w:tcPr>
            <w:tcW w:w="2385"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2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45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1720"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36" w:type="dxa"/>
          <w:trHeight w:val="256" w:hRule="atLeast"/>
        </w:trPr>
        <w:tc>
          <w:tcPr>
            <w:tcW w:w="8039" w:type="dxa"/>
            <w:gridSpan w:val="12"/>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注：本表反映部门本年度一般公共预算财政拨款支出情况。</w:t>
            </w:r>
          </w:p>
        </w:tc>
      </w:tr>
    </w:tbl>
    <w:p>
      <w:pPr>
        <w:pStyle w:val="3"/>
        <w:keepNext w:val="0"/>
        <w:keepLines w:val="0"/>
        <w:widowControl/>
        <w:autoSpaceDE w:val="0"/>
        <w:autoSpaceDN w:val="0"/>
        <w:spacing w:beforeAutospacing="1" w:afterAutospacing="1" w:line="23" w:lineRule="atLeast"/>
        <w:jc w:val="left"/>
      </w:pPr>
    </w:p>
    <w:p>
      <w:pPr>
        <w:pStyle w:val="3"/>
        <w:keepNext w:val="0"/>
        <w:keepLines w:val="0"/>
        <w:widowControl/>
        <w:autoSpaceDE w:val="0"/>
        <w:autoSpaceDN w:val="0"/>
        <w:spacing w:beforeAutospacing="1" w:afterAutospacing="1" w:line="23" w:lineRule="atLeast"/>
        <w:jc w:val="left"/>
        <w:rPr>
          <w:rFonts w:ascii="Calibri" w:hAnsi="Calibri" w:cs="Calibri"/>
          <w:kern w:val="2"/>
          <w:sz w:val="21"/>
          <w:szCs w:val="21"/>
          <w:lang w:val="en-US" w:eastAsia="zh-CN" w:bidi="ar"/>
        </w:rPr>
      </w:pPr>
      <w:r>
        <w:rPr>
          <w:rFonts w:ascii="Calibri" w:hAnsi="Calibri" w:cs="Calibri"/>
          <w:kern w:val="2"/>
          <w:sz w:val="21"/>
          <w:szCs w:val="21"/>
          <w:lang w:val="en-US" w:eastAsia="zh-CN" w:bidi="ar"/>
        </w:rPr>
        <w:t> </w:t>
      </w:r>
    </w:p>
    <w:tbl>
      <w:tblPr>
        <w:tblStyle w:val="5"/>
        <w:tblW w:w="100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49"/>
        <w:gridCol w:w="1515"/>
        <w:gridCol w:w="1110"/>
        <w:gridCol w:w="915"/>
        <w:gridCol w:w="1411"/>
        <w:gridCol w:w="990"/>
        <w:gridCol w:w="930"/>
        <w:gridCol w:w="1380"/>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035"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49" w:type="dxa"/>
            <w:shd w:val="clear" w:color="auto" w:fill="auto"/>
            <w:vAlign w:val="bottom"/>
          </w:tcPr>
          <w:p>
            <w:pPr>
              <w:rPr>
                <w:rFonts w:hint="eastAsia" w:ascii="Arial" w:hAnsi="Arial" w:cs="Arial"/>
                <w:i w:val="0"/>
                <w:color w:val="000000"/>
                <w:sz w:val="20"/>
                <w:szCs w:val="20"/>
                <w:u w:val="none"/>
              </w:rPr>
            </w:pPr>
          </w:p>
        </w:tc>
        <w:tc>
          <w:tcPr>
            <w:tcW w:w="1515" w:type="dxa"/>
            <w:shd w:val="clear" w:color="auto" w:fill="auto"/>
            <w:vAlign w:val="bottom"/>
          </w:tcPr>
          <w:p>
            <w:pPr>
              <w:rPr>
                <w:rFonts w:hint="default" w:ascii="Arial" w:hAnsi="Arial" w:cs="Arial"/>
                <w:i w:val="0"/>
                <w:color w:val="000000"/>
                <w:sz w:val="20"/>
                <w:szCs w:val="20"/>
                <w:u w:val="none"/>
              </w:rPr>
            </w:pPr>
          </w:p>
        </w:tc>
        <w:tc>
          <w:tcPr>
            <w:tcW w:w="1110" w:type="dxa"/>
            <w:shd w:val="clear" w:color="auto" w:fill="auto"/>
            <w:vAlign w:val="bottom"/>
          </w:tcPr>
          <w:p>
            <w:pPr>
              <w:rPr>
                <w:rFonts w:hint="default" w:ascii="Arial" w:hAnsi="Arial" w:cs="Arial"/>
                <w:i w:val="0"/>
                <w:color w:val="000000"/>
                <w:sz w:val="20"/>
                <w:szCs w:val="20"/>
                <w:u w:val="none"/>
              </w:rPr>
            </w:pPr>
          </w:p>
        </w:tc>
        <w:tc>
          <w:tcPr>
            <w:tcW w:w="915" w:type="dxa"/>
            <w:shd w:val="clear" w:color="auto" w:fill="auto"/>
            <w:vAlign w:val="bottom"/>
          </w:tcPr>
          <w:p>
            <w:pPr>
              <w:rPr>
                <w:rFonts w:hint="default" w:ascii="Arial" w:hAnsi="Arial" w:cs="Arial"/>
                <w:i w:val="0"/>
                <w:color w:val="000000"/>
                <w:sz w:val="20"/>
                <w:szCs w:val="20"/>
                <w:u w:val="none"/>
              </w:rPr>
            </w:pPr>
          </w:p>
        </w:tc>
        <w:tc>
          <w:tcPr>
            <w:tcW w:w="1411" w:type="dxa"/>
            <w:shd w:val="clear" w:color="auto" w:fill="auto"/>
            <w:vAlign w:val="bottom"/>
          </w:tcPr>
          <w:p>
            <w:pPr>
              <w:rPr>
                <w:rFonts w:hint="default" w:ascii="Arial" w:hAnsi="Arial" w:cs="Arial"/>
                <w:i w:val="0"/>
                <w:color w:val="000000"/>
                <w:sz w:val="20"/>
                <w:szCs w:val="20"/>
                <w:u w:val="none"/>
              </w:rPr>
            </w:pPr>
          </w:p>
        </w:tc>
        <w:tc>
          <w:tcPr>
            <w:tcW w:w="990" w:type="dxa"/>
            <w:shd w:val="clear" w:color="auto" w:fill="auto"/>
            <w:vAlign w:val="bottom"/>
          </w:tcPr>
          <w:p>
            <w:pPr>
              <w:rPr>
                <w:rFonts w:hint="default" w:ascii="Arial" w:hAnsi="Arial" w:cs="Arial"/>
                <w:i w:val="0"/>
                <w:color w:val="000000"/>
                <w:sz w:val="20"/>
                <w:szCs w:val="20"/>
                <w:u w:val="none"/>
              </w:rPr>
            </w:pPr>
          </w:p>
        </w:tc>
        <w:tc>
          <w:tcPr>
            <w:tcW w:w="930" w:type="dxa"/>
            <w:shd w:val="clear" w:color="auto" w:fill="auto"/>
            <w:vAlign w:val="bottom"/>
          </w:tcPr>
          <w:p>
            <w:pPr>
              <w:rPr>
                <w:rFonts w:hint="default" w:ascii="Arial" w:hAnsi="Arial" w:cs="Arial"/>
                <w:i w:val="0"/>
                <w:color w:val="000000"/>
                <w:sz w:val="20"/>
                <w:szCs w:val="20"/>
                <w:u w:val="none"/>
              </w:rPr>
            </w:pPr>
          </w:p>
        </w:tc>
        <w:tc>
          <w:tcPr>
            <w:tcW w:w="1380" w:type="dxa"/>
            <w:shd w:val="clear" w:color="auto" w:fill="auto"/>
            <w:vAlign w:val="bottom"/>
          </w:tcPr>
          <w:p>
            <w:pPr>
              <w:rPr>
                <w:rFonts w:hint="default" w:ascii="Arial" w:hAnsi="Arial" w:cs="Arial"/>
                <w:i w:val="0"/>
                <w:color w:val="000000"/>
                <w:sz w:val="20"/>
                <w:szCs w:val="20"/>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4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1515" w:type="dxa"/>
            <w:shd w:val="clear" w:color="auto" w:fill="auto"/>
            <w:vAlign w:val="bottom"/>
          </w:tcPr>
          <w:p>
            <w:pPr>
              <w:rPr>
                <w:rFonts w:hint="default" w:ascii="Arial" w:hAnsi="Arial" w:cs="Arial"/>
                <w:i w:val="0"/>
                <w:color w:val="000000"/>
                <w:sz w:val="20"/>
                <w:szCs w:val="20"/>
                <w:u w:val="none"/>
              </w:rPr>
            </w:pPr>
          </w:p>
        </w:tc>
        <w:tc>
          <w:tcPr>
            <w:tcW w:w="1110" w:type="dxa"/>
            <w:shd w:val="clear" w:color="auto" w:fill="auto"/>
            <w:vAlign w:val="bottom"/>
          </w:tcPr>
          <w:p>
            <w:pPr>
              <w:rPr>
                <w:rFonts w:hint="default" w:ascii="Arial" w:hAnsi="Arial" w:cs="Arial"/>
                <w:i w:val="0"/>
                <w:color w:val="000000"/>
                <w:sz w:val="20"/>
                <w:szCs w:val="20"/>
                <w:u w:val="none"/>
              </w:rPr>
            </w:pPr>
          </w:p>
        </w:tc>
        <w:tc>
          <w:tcPr>
            <w:tcW w:w="915" w:type="dxa"/>
            <w:shd w:val="clear" w:color="auto" w:fill="auto"/>
            <w:vAlign w:val="bottom"/>
          </w:tcPr>
          <w:p>
            <w:pPr>
              <w:rPr>
                <w:rFonts w:hint="default" w:ascii="Arial" w:hAnsi="Arial" w:cs="Arial"/>
                <w:i w:val="0"/>
                <w:color w:val="000000"/>
                <w:sz w:val="20"/>
                <w:szCs w:val="20"/>
                <w:u w:val="none"/>
              </w:rPr>
            </w:pPr>
          </w:p>
        </w:tc>
        <w:tc>
          <w:tcPr>
            <w:tcW w:w="141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990" w:type="dxa"/>
            <w:shd w:val="clear" w:color="auto" w:fill="auto"/>
            <w:vAlign w:val="bottom"/>
          </w:tcPr>
          <w:p>
            <w:pPr>
              <w:rPr>
                <w:rFonts w:hint="default" w:ascii="Arial" w:hAnsi="Arial" w:cs="Arial"/>
                <w:i w:val="0"/>
                <w:color w:val="000000"/>
                <w:sz w:val="20"/>
                <w:szCs w:val="20"/>
                <w:u w:val="none"/>
              </w:rPr>
            </w:pPr>
          </w:p>
        </w:tc>
        <w:tc>
          <w:tcPr>
            <w:tcW w:w="930" w:type="dxa"/>
            <w:shd w:val="clear" w:color="auto" w:fill="auto"/>
            <w:vAlign w:val="bottom"/>
          </w:tcPr>
          <w:p>
            <w:pPr>
              <w:rPr>
                <w:rFonts w:hint="default" w:ascii="Arial" w:hAnsi="Arial" w:cs="Arial"/>
                <w:i w:val="0"/>
                <w:color w:val="000000"/>
                <w:sz w:val="20"/>
                <w:szCs w:val="20"/>
                <w:u w:val="none"/>
              </w:rPr>
            </w:pPr>
          </w:p>
        </w:tc>
        <w:tc>
          <w:tcPr>
            <w:tcW w:w="1380" w:type="dxa"/>
            <w:shd w:val="clear" w:color="auto" w:fill="auto"/>
            <w:vAlign w:val="bottom"/>
          </w:tcPr>
          <w:p>
            <w:pPr>
              <w:rPr>
                <w:rFonts w:hint="default" w:ascii="Arial" w:hAnsi="Arial" w:cs="Arial"/>
                <w:i w:val="0"/>
                <w:color w:val="000000"/>
                <w:sz w:val="20"/>
                <w:szCs w:val="20"/>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3374"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w:t>
            </w:r>
          </w:p>
        </w:tc>
        <w:tc>
          <w:tcPr>
            <w:tcW w:w="6661" w:type="dxa"/>
            <w:gridSpan w:val="6"/>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经济分类科目编码</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11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经济分类科目编码</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9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经济分类科目编码</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03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301</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工资福利支出</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957.64</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302</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商品和服务支出</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148.44</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307</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债务利息及费用支出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325.43</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43.20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10.02</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310</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资本性支出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7.99</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5.99</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公务员医疗补助缴款</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34.67</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15.99</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32.84</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138.89</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303</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对个人和家庭的补助</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41.23</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310111</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14.27</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生活补贴</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32.04</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9.19</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312</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对企业补助</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4.39</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代缴社会保险费</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15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其他对个人和家庭的补助支出</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15"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14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9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15"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15"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411"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99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399</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15"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15"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411"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99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39906</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赠与</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515"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11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15"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411"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99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749" w:type="dxa"/>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15"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15"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411"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99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49" w:type="dxa"/>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15"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15"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1411" w:type="dxa"/>
            <w:tcBorders>
              <w:bottom w:val="single" w:color="000000" w:sz="4" w:space="0"/>
              <w:right w:val="single" w:color="000000" w:sz="4" w:space="0"/>
            </w:tcBorders>
            <w:shd w:val="clear" w:color="FFFFFF" w:fill="C0C0C0"/>
            <w:vAlign w:val="center"/>
          </w:tcPr>
          <w:p>
            <w:pPr>
              <w:jc w:val="center"/>
              <w:rPr>
                <w:rFonts w:hint="default" w:ascii="Arial" w:hAnsi="Arial" w:cs="Arial"/>
                <w:i w:val="0"/>
                <w:color w:val="000000"/>
                <w:sz w:val="20"/>
                <w:szCs w:val="20"/>
                <w:u w:val="none"/>
              </w:rPr>
            </w:pPr>
          </w:p>
        </w:tc>
        <w:tc>
          <w:tcPr>
            <w:tcW w:w="990"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13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264" w:type="dxa"/>
            <w:gridSpan w:val="2"/>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人员经费合计</w:t>
            </w:r>
          </w:p>
        </w:tc>
        <w:tc>
          <w:tcPr>
            <w:tcW w:w="111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998.87</w:t>
            </w:r>
          </w:p>
        </w:tc>
        <w:tc>
          <w:tcPr>
            <w:tcW w:w="5626" w:type="dxa"/>
            <w:gridSpan w:val="5"/>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公用支出合计</w:t>
            </w:r>
          </w:p>
        </w:tc>
        <w:tc>
          <w:tcPr>
            <w:tcW w:w="103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035"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注：本表反映部门本年度一般公共预算财政拨款基本支出明细情况。</w:t>
            </w:r>
          </w:p>
        </w:tc>
      </w:tr>
    </w:tbl>
    <w:p>
      <w:pPr>
        <w:pStyle w:val="3"/>
        <w:keepNext w:val="0"/>
        <w:keepLines w:val="0"/>
        <w:widowControl/>
        <w:autoSpaceDE w:val="0"/>
        <w:autoSpaceDN w:val="0"/>
        <w:spacing w:beforeAutospacing="1" w:afterAutospacing="1" w:line="23" w:lineRule="atLeast"/>
        <w:jc w:val="left"/>
      </w:pPr>
    </w:p>
    <w:p>
      <w:pPr>
        <w:pStyle w:val="3"/>
        <w:keepNext w:val="0"/>
        <w:keepLines w:val="0"/>
        <w:widowControl/>
        <w:autoSpaceDE w:val="0"/>
        <w:autoSpaceDN w:val="0"/>
        <w:spacing w:beforeAutospacing="1" w:afterAutospacing="1" w:line="23" w:lineRule="atLeast"/>
        <w:jc w:val="left"/>
        <w:rPr>
          <w:rFonts w:ascii="Calibri" w:hAnsi="Calibri" w:cs="Calibri"/>
          <w:kern w:val="2"/>
          <w:sz w:val="21"/>
          <w:szCs w:val="21"/>
          <w:lang w:val="en-US" w:eastAsia="zh-CN" w:bidi="ar"/>
        </w:rPr>
      </w:pPr>
    </w:p>
    <w:p>
      <w:pPr>
        <w:pStyle w:val="3"/>
        <w:keepNext w:val="0"/>
        <w:keepLines w:val="0"/>
        <w:widowControl/>
        <w:autoSpaceDE w:val="0"/>
        <w:autoSpaceDN w:val="0"/>
        <w:spacing w:beforeAutospacing="1" w:afterAutospacing="1" w:line="23" w:lineRule="atLeast"/>
        <w:jc w:val="left"/>
        <w:rPr>
          <w:rFonts w:ascii="Calibri" w:hAnsi="Calibri" w:cs="Calibri"/>
          <w:kern w:val="2"/>
          <w:sz w:val="21"/>
          <w:szCs w:val="21"/>
          <w:lang w:val="en-US" w:eastAsia="zh-CN" w:bidi="ar"/>
        </w:rPr>
      </w:pPr>
      <w:r>
        <w:rPr>
          <w:rFonts w:ascii="Calibri" w:hAnsi="Calibri" w:cs="Calibri"/>
          <w:kern w:val="2"/>
          <w:sz w:val="21"/>
          <w:szCs w:val="21"/>
          <w:lang w:val="en-US" w:eastAsia="zh-CN" w:bidi="ar"/>
        </w:rPr>
        <w:t> </w:t>
      </w:r>
    </w:p>
    <w:tbl>
      <w:tblPr>
        <w:tblStyle w:val="5"/>
        <w:tblW w:w="89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30"/>
        <w:gridCol w:w="89"/>
        <w:gridCol w:w="217"/>
        <w:gridCol w:w="157"/>
        <w:gridCol w:w="250"/>
        <w:gridCol w:w="131"/>
        <w:gridCol w:w="1410"/>
        <w:gridCol w:w="663"/>
        <w:gridCol w:w="476"/>
        <w:gridCol w:w="690"/>
        <w:gridCol w:w="212"/>
        <w:gridCol w:w="12"/>
        <w:gridCol w:w="330"/>
        <w:gridCol w:w="627"/>
        <w:gridCol w:w="842"/>
        <w:gridCol w:w="707"/>
        <w:gridCol w:w="843"/>
        <w:gridCol w:w="315"/>
        <w:gridCol w:w="5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780" w:hRule="atLeast"/>
        </w:trPr>
        <w:tc>
          <w:tcPr>
            <w:tcW w:w="8086" w:type="dxa"/>
            <w:gridSpan w:val="17"/>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86" w:hRule="atLeast"/>
        </w:trPr>
        <w:tc>
          <w:tcPr>
            <w:tcW w:w="2684" w:type="dxa"/>
            <w:gridSpan w:val="7"/>
            <w:shd w:val="clear" w:color="auto" w:fill="auto"/>
            <w:vAlign w:val="bottom"/>
          </w:tcPr>
          <w:p>
            <w:pPr>
              <w:rPr>
                <w:rFonts w:hint="eastAsia" w:ascii="Arial" w:hAnsi="Arial" w:cs="Arial"/>
                <w:i w:val="0"/>
                <w:color w:val="000000"/>
                <w:sz w:val="20"/>
                <w:szCs w:val="20"/>
                <w:u w:val="none"/>
              </w:rPr>
            </w:pPr>
          </w:p>
        </w:tc>
        <w:tc>
          <w:tcPr>
            <w:tcW w:w="663" w:type="dxa"/>
            <w:shd w:val="clear" w:color="auto" w:fill="auto"/>
            <w:vAlign w:val="bottom"/>
          </w:tcPr>
          <w:p>
            <w:pPr>
              <w:rPr>
                <w:rFonts w:hint="default" w:ascii="Arial" w:hAnsi="Arial" w:cs="Arial"/>
                <w:i w:val="0"/>
                <w:color w:val="000000"/>
                <w:sz w:val="20"/>
                <w:szCs w:val="20"/>
                <w:u w:val="none"/>
              </w:rPr>
            </w:pPr>
          </w:p>
        </w:tc>
        <w:tc>
          <w:tcPr>
            <w:tcW w:w="1378" w:type="dxa"/>
            <w:gridSpan w:val="3"/>
            <w:shd w:val="clear" w:color="auto" w:fill="auto"/>
            <w:vAlign w:val="bottom"/>
          </w:tcPr>
          <w:p>
            <w:pPr>
              <w:rPr>
                <w:rFonts w:hint="default" w:ascii="Arial" w:hAnsi="Arial" w:cs="Arial"/>
                <w:i w:val="0"/>
                <w:color w:val="000000"/>
                <w:sz w:val="20"/>
                <w:szCs w:val="20"/>
                <w:u w:val="none"/>
              </w:rPr>
            </w:pPr>
          </w:p>
        </w:tc>
        <w:tc>
          <w:tcPr>
            <w:tcW w:w="3361" w:type="dxa"/>
            <w:gridSpan w:val="6"/>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86" w:hRule="atLeast"/>
        </w:trPr>
        <w:tc>
          <w:tcPr>
            <w:tcW w:w="2684" w:type="dxa"/>
            <w:gridSpan w:val="7"/>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663"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1378" w:type="dxa"/>
            <w:gridSpan w:val="3"/>
            <w:shd w:val="clear" w:color="auto" w:fill="auto"/>
            <w:vAlign w:val="bottom"/>
          </w:tcPr>
          <w:p>
            <w:pPr>
              <w:rPr>
                <w:rFonts w:hint="default" w:ascii="Arial" w:hAnsi="Arial" w:cs="Arial"/>
                <w:i w:val="0"/>
                <w:color w:val="000000"/>
                <w:sz w:val="20"/>
                <w:szCs w:val="20"/>
                <w:u w:val="none"/>
              </w:rPr>
            </w:pPr>
          </w:p>
        </w:tc>
        <w:tc>
          <w:tcPr>
            <w:tcW w:w="3361" w:type="dxa"/>
            <w:gridSpan w:val="6"/>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56" w:hRule="atLeast"/>
        </w:trPr>
        <w:tc>
          <w:tcPr>
            <w:tcW w:w="2684" w:type="dxa"/>
            <w:gridSpan w:val="7"/>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66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378" w:type="dxa"/>
            <w:gridSpan w:val="3"/>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年初预算数</w:t>
            </w:r>
          </w:p>
        </w:tc>
        <w:tc>
          <w:tcPr>
            <w:tcW w:w="3361" w:type="dxa"/>
            <w:gridSpan w:val="6"/>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663"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78"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361" w:type="dxa"/>
            <w:gridSpan w:val="6"/>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18.67</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4.39</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4.39</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14.27</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二、相关统计数</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26" w:hRule="atLeast"/>
        </w:trPr>
        <w:tc>
          <w:tcPr>
            <w:tcW w:w="2684" w:type="dxa"/>
            <w:gridSpan w:val="7"/>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6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78"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361"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285" w:hRule="atLeast"/>
        </w:trPr>
        <w:tc>
          <w:tcPr>
            <w:tcW w:w="8086" w:type="dxa"/>
            <w:gridSpan w:val="17"/>
            <w:vMerge w:val="restart"/>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注：本表反映部门本年度“三公”经费支出预决算情况。其中，预算数为“三公”经费年初预算数，决算数是包括当年一般公共预算财政拨款和以前年度结转资金安排的实际支出。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824" w:type="dxa"/>
          <w:trHeight w:val="795" w:hRule="atLeast"/>
        </w:trPr>
        <w:tc>
          <w:tcPr>
            <w:tcW w:w="8086" w:type="dxa"/>
            <w:gridSpan w:val="17"/>
            <w:vMerge w:val="continue"/>
            <w:shd w:val="clear" w:color="auto" w:fill="auto"/>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8910" w:type="dxa"/>
            <w:gridSpan w:val="19"/>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30" w:type="dxa"/>
            <w:shd w:val="clear" w:color="auto" w:fill="auto"/>
            <w:vAlign w:val="bottom"/>
          </w:tcPr>
          <w:p>
            <w:pPr>
              <w:rPr>
                <w:rFonts w:hint="eastAsia" w:ascii="Arial" w:hAnsi="Arial" w:cs="Arial"/>
                <w:i w:val="0"/>
                <w:color w:val="000000"/>
                <w:sz w:val="20"/>
                <w:szCs w:val="20"/>
                <w:u w:val="none"/>
              </w:rPr>
            </w:pPr>
          </w:p>
        </w:tc>
        <w:tc>
          <w:tcPr>
            <w:tcW w:w="306" w:type="dxa"/>
            <w:gridSpan w:val="2"/>
            <w:shd w:val="clear" w:color="auto" w:fill="auto"/>
            <w:vAlign w:val="bottom"/>
          </w:tcPr>
          <w:p>
            <w:pPr>
              <w:rPr>
                <w:rFonts w:hint="default" w:ascii="Arial" w:hAnsi="Arial" w:cs="Arial"/>
                <w:i w:val="0"/>
                <w:color w:val="000000"/>
                <w:sz w:val="20"/>
                <w:szCs w:val="20"/>
                <w:u w:val="none"/>
              </w:rPr>
            </w:pPr>
          </w:p>
        </w:tc>
        <w:tc>
          <w:tcPr>
            <w:tcW w:w="407" w:type="dxa"/>
            <w:gridSpan w:val="2"/>
            <w:shd w:val="clear" w:color="auto" w:fill="auto"/>
            <w:vAlign w:val="bottom"/>
          </w:tcPr>
          <w:p>
            <w:pPr>
              <w:rPr>
                <w:rFonts w:hint="default" w:ascii="Arial" w:hAnsi="Arial" w:cs="Arial"/>
                <w:i w:val="0"/>
                <w:color w:val="000000"/>
                <w:sz w:val="20"/>
                <w:szCs w:val="20"/>
                <w:u w:val="none"/>
              </w:rPr>
            </w:pPr>
          </w:p>
        </w:tc>
        <w:tc>
          <w:tcPr>
            <w:tcW w:w="2680" w:type="dxa"/>
            <w:gridSpan w:val="4"/>
            <w:shd w:val="clear" w:color="auto" w:fill="auto"/>
            <w:vAlign w:val="bottom"/>
          </w:tcPr>
          <w:p>
            <w:pPr>
              <w:rPr>
                <w:rFonts w:hint="default" w:ascii="Arial" w:hAnsi="Arial" w:cs="Arial"/>
                <w:i w:val="0"/>
                <w:color w:val="000000"/>
                <w:sz w:val="20"/>
                <w:szCs w:val="20"/>
                <w:u w:val="none"/>
              </w:rPr>
            </w:pPr>
          </w:p>
        </w:tc>
        <w:tc>
          <w:tcPr>
            <w:tcW w:w="914" w:type="dxa"/>
            <w:gridSpan w:val="3"/>
            <w:shd w:val="clear" w:color="auto" w:fill="auto"/>
            <w:vAlign w:val="bottom"/>
          </w:tcPr>
          <w:p>
            <w:pPr>
              <w:rPr>
                <w:rFonts w:hint="default" w:ascii="Arial" w:hAnsi="Arial" w:cs="Arial"/>
                <w:i w:val="0"/>
                <w:color w:val="000000"/>
                <w:sz w:val="20"/>
                <w:szCs w:val="20"/>
                <w:u w:val="none"/>
              </w:rPr>
            </w:pPr>
          </w:p>
        </w:tc>
        <w:tc>
          <w:tcPr>
            <w:tcW w:w="957" w:type="dxa"/>
            <w:gridSpan w:val="2"/>
            <w:shd w:val="clear" w:color="auto" w:fill="auto"/>
            <w:vAlign w:val="bottom"/>
          </w:tcPr>
          <w:p>
            <w:pPr>
              <w:rPr>
                <w:rFonts w:hint="default" w:ascii="Arial" w:hAnsi="Arial" w:cs="Arial"/>
                <w:i w:val="0"/>
                <w:color w:val="000000"/>
                <w:sz w:val="20"/>
                <w:szCs w:val="20"/>
                <w:u w:val="none"/>
              </w:rPr>
            </w:pPr>
          </w:p>
        </w:tc>
        <w:tc>
          <w:tcPr>
            <w:tcW w:w="842" w:type="dxa"/>
            <w:shd w:val="clear" w:color="auto" w:fill="auto"/>
            <w:vAlign w:val="bottom"/>
          </w:tcPr>
          <w:p>
            <w:pPr>
              <w:rPr>
                <w:rFonts w:hint="default" w:ascii="Arial" w:hAnsi="Arial" w:cs="Arial"/>
                <w:i w:val="0"/>
                <w:color w:val="000000"/>
                <w:sz w:val="20"/>
                <w:szCs w:val="20"/>
                <w:u w:val="none"/>
              </w:rPr>
            </w:pPr>
          </w:p>
        </w:tc>
        <w:tc>
          <w:tcPr>
            <w:tcW w:w="707" w:type="dxa"/>
            <w:shd w:val="clear" w:color="auto" w:fill="auto"/>
            <w:vAlign w:val="bottom"/>
          </w:tcPr>
          <w:p>
            <w:pPr>
              <w:rPr>
                <w:rFonts w:hint="default" w:ascii="Arial" w:hAnsi="Arial" w:cs="Arial"/>
                <w:i w:val="0"/>
                <w:color w:val="000000"/>
                <w:sz w:val="20"/>
                <w:szCs w:val="20"/>
                <w:u w:val="none"/>
              </w:rPr>
            </w:pPr>
          </w:p>
        </w:tc>
        <w:tc>
          <w:tcPr>
            <w:tcW w:w="843" w:type="dxa"/>
            <w:shd w:val="clear" w:color="auto" w:fill="auto"/>
            <w:vAlign w:val="bottom"/>
          </w:tcPr>
          <w:p>
            <w:pPr>
              <w:rPr>
                <w:rFonts w:hint="default" w:ascii="Arial" w:hAnsi="Arial" w:cs="Arial"/>
                <w:i w:val="0"/>
                <w:color w:val="000000"/>
                <w:sz w:val="20"/>
                <w:szCs w:val="20"/>
                <w:u w:val="none"/>
              </w:rPr>
            </w:pPr>
          </w:p>
        </w:tc>
        <w:tc>
          <w:tcPr>
            <w:tcW w:w="824"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30"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306" w:type="dxa"/>
            <w:gridSpan w:val="2"/>
            <w:shd w:val="clear" w:color="auto" w:fill="auto"/>
            <w:vAlign w:val="bottom"/>
          </w:tcPr>
          <w:p>
            <w:pPr>
              <w:rPr>
                <w:rFonts w:hint="default" w:ascii="Arial" w:hAnsi="Arial" w:cs="Arial"/>
                <w:i w:val="0"/>
                <w:color w:val="000000"/>
                <w:sz w:val="20"/>
                <w:szCs w:val="20"/>
                <w:u w:val="none"/>
              </w:rPr>
            </w:pPr>
          </w:p>
        </w:tc>
        <w:tc>
          <w:tcPr>
            <w:tcW w:w="407" w:type="dxa"/>
            <w:gridSpan w:val="2"/>
            <w:shd w:val="clear" w:color="auto" w:fill="auto"/>
            <w:vAlign w:val="bottom"/>
          </w:tcPr>
          <w:p>
            <w:pPr>
              <w:rPr>
                <w:rFonts w:hint="default" w:ascii="Arial" w:hAnsi="Arial" w:cs="Arial"/>
                <w:i w:val="0"/>
                <w:color w:val="000000"/>
                <w:sz w:val="20"/>
                <w:szCs w:val="20"/>
                <w:u w:val="none"/>
              </w:rPr>
            </w:pPr>
          </w:p>
        </w:tc>
        <w:tc>
          <w:tcPr>
            <w:tcW w:w="2680" w:type="dxa"/>
            <w:gridSpan w:val="4"/>
            <w:shd w:val="clear" w:color="auto" w:fill="auto"/>
            <w:vAlign w:val="bottom"/>
          </w:tcPr>
          <w:p>
            <w:pPr>
              <w:rPr>
                <w:rFonts w:hint="default" w:ascii="Arial" w:hAnsi="Arial" w:cs="Arial"/>
                <w:i w:val="0"/>
                <w:color w:val="000000"/>
                <w:sz w:val="20"/>
                <w:szCs w:val="20"/>
                <w:u w:val="none"/>
              </w:rPr>
            </w:pPr>
          </w:p>
        </w:tc>
        <w:tc>
          <w:tcPr>
            <w:tcW w:w="914" w:type="dxa"/>
            <w:gridSpan w:val="3"/>
            <w:shd w:val="clear" w:color="auto" w:fill="auto"/>
            <w:vAlign w:val="bottom"/>
          </w:tcPr>
          <w:p>
            <w:pPr>
              <w:rPr>
                <w:rFonts w:hint="default" w:ascii="Arial" w:hAnsi="Arial" w:cs="Arial"/>
                <w:i w:val="0"/>
                <w:color w:val="000000"/>
                <w:sz w:val="20"/>
                <w:szCs w:val="20"/>
                <w:u w:val="none"/>
              </w:rPr>
            </w:pPr>
          </w:p>
        </w:tc>
        <w:tc>
          <w:tcPr>
            <w:tcW w:w="957" w:type="dxa"/>
            <w:gridSpan w:val="2"/>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842" w:type="dxa"/>
            <w:shd w:val="clear" w:color="auto" w:fill="auto"/>
            <w:vAlign w:val="bottom"/>
          </w:tcPr>
          <w:p>
            <w:pPr>
              <w:rPr>
                <w:rFonts w:hint="default" w:ascii="Arial" w:hAnsi="Arial" w:cs="Arial"/>
                <w:i w:val="0"/>
                <w:color w:val="000000"/>
                <w:sz w:val="20"/>
                <w:szCs w:val="20"/>
                <w:u w:val="none"/>
              </w:rPr>
            </w:pPr>
          </w:p>
        </w:tc>
        <w:tc>
          <w:tcPr>
            <w:tcW w:w="707" w:type="dxa"/>
            <w:shd w:val="clear" w:color="auto" w:fill="auto"/>
            <w:vAlign w:val="bottom"/>
          </w:tcPr>
          <w:p>
            <w:pPr>
              <w:rPr>
                <w:rFonts w:hint="default" w:ascii="Arial" w:hAnsi="Arial" w:cs="Arial"/>
                <w:i w:val="0"/>
                <w:color w:val="000000"/>
                <w:sz w:val="20"/>
                <w:szCs w:val="20"/>
                <w:u w:val="none"/>
              </w:rPr>
            </w:pPr>
          </w:p>
        </w:tc>
        <w:tc>
          <w:tcPr>
            <w:tcW w:w="843" w:type="dxa"/>
            <w:shd w:val="clear" w:color="auto" w:fill="auto"/>
            <w:vAlign w:val="bottom"/>
          </w:tcPr>
          <w:p>
            <w:pPr>
              <w:rPr>
                <w:rFonts w:hint="default" w:ascii="Arial" w:hAnsi="Arial" w:cs="Arial"/>
                <w:i w:val="0"/>
                <w:color w:val="000000"/>
                <w:sz w:val="20"/>
                <w:szCs w:val="20"/>
                <w:u w:val="none"/>
              </w:rPr>
            </w:pPr>
          </w:p>
        </w:tc>
        <w:tc>
          <w:tcPr>
            <w:tcW w:w="824"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1" w:hRule="atLeast"/>
        </w:trPr>
        <w:tc>
          <w:tcPr>
            <w:tcW w:w="3823" w:type="dxa"/>
            <w:gridSpan w:val="9"/>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914" w:type="dxa"/>
            <w:gridSpan w:val="3"/>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957"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2392" w:type="dxa"/>
            <w:gridSpan w:val="3"/>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824"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1143" w:type="dxa"/>
            <w:gridSpan w:val="5"/>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680" w:type="dxa"/>
            <w:gridSpan w:val="4"/>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914" w:type="dxa"/>
            <w:gridSpan w:val="3"/>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4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707"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843"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824"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1143" w:type="dxa"/>
            <w:gridSpan w:val="5"/>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680" w:type="dxa"/>
            <w:gridSpan w:val="4"/>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4" w:type="dxa"/>
            <w:gridSpan w:val="3"/>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4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07"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43"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24"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1143" w:type="dxa"/>
            <w:gridSpan w:val="5"/>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680" w:type="dxa"/>
            <w:gridSpan w:val="4"/>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4" w:type="dxa"/>
            <w:gridSpan w:val="3"/>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4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07"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43"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24"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430"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06" w:type="dxa"/>
            <w:gridSpan w:val="2"/>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407" w:type="dxa"/>
            <w:gridSpan w:val="2"/>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680"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914"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57"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4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0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4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24"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430"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06"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07"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680"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14"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95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8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70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82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2680"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914"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95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8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70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82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w:t>
            </w:r>
          </w:p>
        </w:tc>
        <w:tc>
          <w:tcPr>
            <w:tcW w:w="2680"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国有土地使用权出让收入安排的支出</w:t>
            </w:r>
          </w:p>
        </w:tc>
        <w:tc>
          <w:tcPr>
            <w:tcW w:w="914"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95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102.34</w:t>
            </w:r>
          </w:p>
        </w:tc>
        <w:tc>
          <w:tcPr>
            <w:tcW w:w="8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70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187.37</w:t>
            </w:r>
          </w:p>
        </w:tc>
        <w:tc>
          <w:tcPr>
            <w:tcW w:w="82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2120801</w:t>
            </w:r>
          </w:p>
        </w:tc>
        <w:tc>
          <w:tcPr>
            <w:tcW w:w="2680"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征地和拆迁补偿支出</w:t>
            </w:r>
          </w:p>
        </w:tc>
        <w:tc>
          <w:tcPr>
            <w:tcW w:w="914"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95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70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85.02</w:t>
            </w:r>
          </w:p>
        </w:tc>
        <w:tc>
          <w:tcPr>
            <w:tcW w:w="82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2120802</w:t>
            </w:r>
          </w:p>
        </w:tc>
        <w:tc>
          <w:tcPr>
            <w:tcW w:w="2680"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土地开发支出</w:t>
            </w:r>
          </w:p>
        </w:tc>
        <w:tc>
          <w:tcPr>
            <w:tcW w:w="914"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5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8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70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18.10</w:t>
            </w:r>
          </w:p>
        </w:tc>
        <w:tc>
          <w:tcPr>
            <w:tcW w:w="82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2120899</w:t>
            </w:r>
          </w:p>
        </w:tc>
        <w:tc>
          <w:tcPr>
            <w:tcW w:w="2680"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914"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5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8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70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4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82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680" w:type="dxa"/>
            <w:gridSpan w:val="4"/>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914"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957"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4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70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4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24"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680" w:type="dxa"/>
            <w:gridSpan w:val="4"/>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914"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957"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4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70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4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24"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1143" w:type="dxa"/>
            <w:gridSpan w:val="5"/>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680" w:type="dxa"/>
            <w:gridSpan w:val="4"/>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914"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957"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4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70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4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24"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8910" w:type="dxa"/>
            <w:gridSpan w:val="1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注：本表反映部门本年度政府性基金预算财政拨款收入、支出及结转和结余情况。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910" w:type="dxa"/>
            <w:gridSpan w:val="1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说明：当此表数据为零时，即本部门无政府性基金预算财政拨款收入、支出。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450" w:hRule="atLeast"/>
        </w:trPr>
        <w:tc>
          <w:tcPr>
            <w:tcW w:w="8401" w:type="dxa"/>
            <w:gridSpan w:val="1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86" w:hRule="atLeast"/>
        </w:trPr>
        <w:tc>
          <w:tcPr>
            <w:tcW w:w="519" w:type="dxa"/>
            <w:gridSpan w:val="2"/>
            <w:shd w:val="clear" w:color="auto" w:fill="auto"/>
            <w:vAlign w:val="bottom"/>
          </w:tcPr>
          <w:p>
            <w:pPr>
              <w:rPr>
                <w:rFonts w:hint="eastAsia" w:ascii="Arial" w:hAnsi="Arial" w:cs="Arial"/>
                <w:i w:val="0"/>
                <w:color w:val="000000"/>
                <w:sz w:val="20"/>
                <w:szCs w:val="20"/>
                <w:u w:val="none"/>
              </w:rPr>
            </w:pPr>
          </w:p>
        </w:tc>
        <w:tc>
          <w:tcPr>
            <w:tcW w:w="374" w:type="dxa"/>
            <w:gridSpan w:val="2"/>
            <w:shd w:val="clear" w:color="auto" w:fill="auto"/>
            <w:vAlign w:val="bottom"/>
          </w:tcPr>
          <w:p>
            <w:pPr>
              <w:rPr>
                <w:rFonts w:hint="default" w:ascii="Arial" w:hAnsi="Arial" w:cs="Arial"/>
                <w:i w:val="0"/>
                <w:color w:val="000000"/>
                <w:sz w:val="20"/>
                <w:szCs w:val="20"/>
                <w:u w:val="none"/>
              </w:rPr>
            </w:pPr>
          </w:p>
        </w:tc>
        <w:tc>
          <w:tcPr>
            <w:tcW w:w="381" w:type="dxa"/>
            <w:gridSpan w:val="2"/>
            <w:shd w:val="clear" w:color="auto" w:fill="auto"/>
            <w:vAlign w:val="bottom"/>
          </w:tcPr>
          <w:p>
            <w:pPr>
              <w:rPr>
                <w:rFonts w:hint="default" w:ascii="Arial" w:hAnsi="Arial" w:cs="Arial"/>
                <w:i w:val="0"/>
                <w:color w:val="000000"/>
                <w:sz w:val="20"/>
                <w:szCs w:val="20"/>
                <w:u w:val="none"/>
              </w:rPr>
            </w:pPr>
          </w:p>
        </w:tc>
        <w:tc>
          <w:tcPr>
            <w:tcW w:w="2549" w:type="dxa"/>
            <w:gridSpan w:val="3"/>
            <w:shd w:val="clear" w:color="auto" w:fill="auto"/>
            <w:vAlign w:val="bottom"/>
          </w:tcPr>
          <w:p>
            <w:pPr>
              <w:rPr>
                <w:rFonts w:hint="default" w:ascii="Arial" w:hAnsi="Arial" w:cs="Arial"/>
                <w:i w:val="0"/>
                <w:color w:val="000000"/>
                <w:sz w:val="20"/>
                <w:szCs w:val="20"/>
                <w:u w:val="none"/>
              </w:rPr>
            </w:pPr>
          </w:p>
        </w:tc>
        <w:tc>
          <w:tcPr>
            <w:tcW w:w="1244" w:type="dxa"/>
            <w:gridSpan w:val="4"/>
            <w:shd w:val="clear" w:color="auto" w:fill="auto"/>
            <w:vAlign w:val="bottom"/>
          </w:tcPr>
          <w:p>
            <w:pPr>
              <w:rPr>
                <w:rFonts w:hint="default" w:ascii="Arial" w:hAnsi="Arial" w:cs="Arial"/>
                <w:i w:val="0"/>
                <w:color w:val="000000"/>
                <w:sz w:val="20"/>
                <w:szCs w:val="20"/>
                <w:u w:val="none"/>
              </w:rPr>
            </w:pPr>
          </w:p>
        </w:tc>
        <w:tc>
          <w:tcPr>
            <w:tcW w:w="1469" w:type="dxa"/>
            <w:gridSpan w:val="2"/>
            <w:shd w:val="clear" w:color="auto" w:fill="auto"/>
            <w:vAlign w:val="bottom"/>
          </w:tcPr>
          <w:p>
            <w:pPr>
              <w:rPr>
                <w:rFonts w:hint="default" w:ascii="Arial" w:hAnsi="Arial" w:cs="Arial"/>
                <w:i w:val="0"/>
                <w:color w:val="000000"/>
                <w:sz w:val="20"/>
                <w:szCs w:val="20"/>
                <w:u w:val="none"/>
              </w:rPr>
            </w:pPr>
          </w:p>
        </w:tc>
        <w:tc>
          <w:tcPr>
            <w:tcW w:w="1865" w:type="dxa"/>
            <w:gridSpan w:val="3"/>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86" w:hRule="atLeast"/>
        </w:trPr>
        <w:tc>
          <w:tcPr>
            <w:tcW w:w="519"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374" w:type="dxa"/>
            <w:gridSpan w:val="2"/>
            <w:shd w:val="clear" w:color="auto" w:fill="auto"/>
            <w:vAlign w:val="bottom"/>
          </w:tcPr>
          <w:p>
            <w:pPr>
              <w:rPr>
                <w:rFonts w:hint="default" w:ascii="Arial" w:hAnsi="Arial" w:cs="Arial"/>
                <w:i w:val="0"/>
                <w:color w:val="000000"/>
                <w:sz w:val="20"/>
                <w:szCs w:val="20"/>
                <w:u w:val="none"/>
              </w:rPr>
            </w:pPr>
          </w:p>
        </w:tc>
        <w:tc>
          <w:tcPr>
            <w:tcW w:w="381" w:type="dxa"/>
            <w:gridSpan w:val="2"/>
            <w:shd w:val="clear" w:color="auto" w:fill="auto"/>
            <w:vAlign w:val="bottom"/>
          </w:tcPr>
          <w:p>
            <w:pPr>
              <w:rPr>
                <w:rFonts w:hint="default" w:ascii="Arial" w:hAnsi="Arial" w:cs="Arial"/>
                <w:i w:val="0"/>
                <w:color w:val="000000"/>
                <w:sz w:val="20"/>
                <w:szCs w:val="20"/>
                <w:u w:val="none"/>
              </w:rPr>
            </w:pPr>
          </w:p>
        </w:tc>
        <w:tc>
          <w:tcPr>
            <w:tcW w:w="2549" w:type="dxa"/>
            <w:gridSpan w:val="3"/>
            <w:shd w:val="clear" w:color="auto" w:fill="auto"/>
            <w:vAlign w:val="bottom"/>
          </w:tcPr>
          <w:p>
            <w:pPr>
              <w:rPr>
                <w:rFonts w:hint="default" w:ascii="Arial" w:hAnsi="Arial" w:cs="Arial"/>
                <w:i w:val="0"/>
                <w:color w:val="000000"/>
                <w:sz w:val="20"/>
                <w:szCs w:val="20"/>
                <w:u w:val="none"/>
              </w:rPr>
            </w:pPr>
          </w:p>
        </w:tc>
        <w:tc>
          <w:tcPr>
            <w:tcW w:w="1244" w:type="dxa"/>
            <w:gridSpan w:val="4"/>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1469" w:type="dxa"/>
            <w:gridSpan w:val="2"/>
            <w:shd w:val="clear" w:color="auto" w:fill="auto"/>
            <w:vAlign w:val="bottom"/>
          </w:tcPr>
          <w:p>
            <w:pPr>
              <w:rPr>
                <w:rFonts w:hint="default" w:ascii="Arial" w:hAnsi="Arial" w:cs="Arial"/>
                <w:i w:val="0"/>
                <w:color w:val="000000"/>
                <w:sz w:val="20"/>
                <w:szCs w:val="20"/>
                <w:u w:val="none"/>
              </w:rPr>
            </w:pPr>
          </w:p>
        </w:tc>
        <w:tc>
          <w:tcPr>
            <w:tcW w:w="1865" w:type="dxa"/>
            <w:gridSpan w:val="3"/>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244" w:type="dxa"/>
            <w:gridSpan w:val="4"/>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69"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865" w:type="dxa"/>
            <w:gridSpan w:val="3"/>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5" w:hRule="atLeast"/>
        </w:trPr>
        <w:tc>
          <w:tcPr>
            <w:tcW w:w="1274" w:type="dxa"/>
            <w:gridSpan w:val="6"/>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549" w:type="dxa"/>
            <w:gridSpan w:val="3"/>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244" w:type="dxa"/>
            <w:gridSpan w:val="4"/>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69"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65" w:type="dxa"/>
            <w:gridSpan w:val="3"/>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5" w:hRule="atLeast"/>
        </w:trPr>
        <w:tc>
          <w:tcPr>
            <w:tcW w:w="1274" w:type="dxa"/>
            <w:gridSpan w:val="6"/>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49" w:type="dxa"/>
            <w:gridSpan w:val="3"/>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44" w:type="dxa"/>
            <w:gridSpan w:val="4"/>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69"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65" w:type="dxa"/>
            <w:gridSpan w:val="3"/>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5" w:hRule="atLeast"/>
        </w:trPr>
        <w:tc>
          <w:tcPr>
            <w:tcW w:w="1274" w:type="dxa"/>
            <w:gridSpan w:val="6"/>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49" w:type="dxa"/>
            <w:gridSpan w:val="3"/>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44" w:type="dxa"/>
            <w:gridSpan w:val="4"/>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69"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65" w:type="dxa"/>
            <w:gridSpan w:val="3"/>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519" w:type="dxa"/>
            <w:gridSpan w:val="2"/>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74" w:type="dxa"/>
            <w:gridSpan w:val="2"/>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381" w:type="dxa"/>
            <w:gridSpan w:val="2"/>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549"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244" w:type="dxa"/>
            <w:gridSpan w:val="4"/>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69"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65"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519" w:type="dxa"/>
            <w:gridSpan w:val="2"/>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74"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81" w:type="dxa"/>
            <w:gridSpan w:val="2"/>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1274" w:type="dxa"/>
            <w:gridSpan w:val="6"/>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1274" w:type="dxa"/>
            <w:gridSpan w:val="6"/>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1274" w:type="dxa"/>
            <w:gridSpan w:val="6"/>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1274" w:type="dxa"/>
            <w:gridSpan w:val="6"/>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1274" w:type="dxa"/>
            <w:gridSpan w:val="6"/>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1274" w:type="dxa"/>
            <w:gridSpan w:val="6"/>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549"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44" w:type="dxa"/>
            <w:gridSpan w:val="4"/>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69"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865" w:type="dxa"/>
            <w:gridSpan w:val="3"/>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41" w:hRule="atLeast"/>
        </w:trPr>
        <w:tc>
          <w:tcPr>
            <w:tcW w:w="8401" w:type="dxa"/>
            <w:gridSpan w:val="1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注：本表反映部门本年度国有资本经营预算财政拨款支出情况。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8401" w:type="dxa"/>
            <w:gridSpan w:val="18"/>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说明：当此表数据为空时，即本部门无国有资本经营预算财政拨款支出。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540" w:hRule="atLeast"/>
        </w:trPr>
        <w:tc>
          <w:tcPr>
            <w:tcW w:w="8401" w:type="dxa"/>
            <w:gridSpan w:val="1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86" w:hRule="atLeast"/>
        </w:trPr>
        <w:tc>
          <w:tcPr>
            <w:tcW w:w="3823" w:type="dxa"/>
            <w:gridSpan w:val="9"/>
            <w:shd w:val="clear" w:color="auto" w:fill="auto"/>
            <w:vAlign w:val="bottom"/>
          </w:tcPr>
          <w:p>
            <w:pPr>
              <w:rPr>
                <w:rFonts w:hint="eastAsia" w:ascii="Arial" w:hAnsi="Arial" w:cs="Arial"/>
                <w:i w:val="0"/>
                <w:color w:val="000000"/>
                <w:sz w:val="20"/>
                <w:szCs w:val="20"/>
                <w:u w:val="none"/>
              </w:rPr>
            </w:pPr>
          </w:p>
        </w:tc>
        <w:tc>
          <w:tcPr>
            <w:tcW w:w="690" w:type="dxa"/>
            <w:shd w:val="clear" w:color="auto" w:fill="auto"/>
            <w:vAlign w:val="bottom"/>
          </w:tcPr>
          <w:p>
            <w:pPr>
              <w:rPr>
                <w:rFonts w:hint="default" w:ascii="Arial" w:hAnsi="Arial" w:cs="Arial"/>
                <w:i w:val="0"/>
                <w:color w:val="000000"/>
                <w:sz w:val="20"/>
                <w:szCs w:val="20"/>
                <w:u w:val="none"/>
              </w:rPr>
            </w:pPr>
          </w:p>
        </w:tc>
        <w:tc>
          <w:tcPr>
            <w:tcW w:w="3888" w:type="dxa"/>
            <w:gridSpan w:val="8"/>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公开10表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86" w:hRule="atLeast"/>
        </w:trPr>
        <w:tc>
          <w:tcPr>
            <w:tcW w:w="3823" w:type="dxa"/>
            <w:gridSpan w:val="9"/>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编制单位：兴国县梅窖镇人民政府</w:t>
            </w:r>
          </w:p>
        </w:tc>
        <w:tc>
          <w:tcPr>
            <w:tcW w:w="690"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2021年度</w:t>
            </w:r>
          </w:p>
        </w:tc>
        <w:tc>
          <w:tcPr>
            <w:tcW w:w="3888" w:type="dxa"/>
            <w:gridSpan w:val="8"/>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11" w:hRule="atLeast"/>
        </w:trPr>
        <w:tc>
          <w:tcPr>
            <w:tcW w:w="3823" w:type="dxa"/>
            <w:gridSpan w:val="9"/>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6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3888" w:type="dxa"/>
            <w:gridSpan w:val="8"/>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一、车辆数合计(台、辆)</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二、单价50万元（含）以上通用设备（台，套）</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26" w:hRule="atLeast"/>
        </w:trPr>
        <w:tc>
          <w:tcPr>
            <w:tcW w:w="3823" w:type="dxa"/>
            <w:gridSpan w:val="9"/>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三、单价100万元（含）以上专用设备（台，套）</w:t>
            </w:r>
          </w:p>
        </w:tc>
        <w:tc>
          <w:tcPr>
            <w:tcW w:w="6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3888" w:type="dxa"/>
            <w:gridSpan w:val="8"/>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09" w:type="dxa"/>
          <w:trHeight w:val="286" w:hRule="atLeast"/>
        </w:trPr>
        <w:tc>
          <w:tcPr>
            <w:tcW w:w="8401" w:type="dxa"/>
            <w:gridSpan w:val="1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注：本表反映截止2021年12月31日，部门占用的国有资产情况。</w:t>
            </w:r>
          </w:p>
        </w:tc>
      </w:tr>
    </w:tbl>
    <w:p>
      <w:pPr>
        <w:pStyle w:val="3"/>
        <w:keepNext w:val="0"/>
        <w:keepLines w:val="0"/>
        <w:widowControl/>
        <w:autoSpaceDE w:val="0"/>
        <w:autoSpaceDN w:val="0"/>
        <w:spacing w:beforeAutospacing="1" w:afterAutospacing="1" w:line="23" w:lineRule="atLeast"/>
        <w:jc w:val="left"/>
      </w:pPr>
    </w:p>
    <w:p>
      <w:pPr>
        <w:pStyle w:val="3"/>
        <w:keepNext w:val="0"/>
        <w:keepLines w:val="0"/>
        <w:widowControl/>
        <w:autoSpaceDE w:val="0"/>
        <w:autoSpaceDN w:val="0"/>
        <w:spacing w:beforeAutospacing="1" w:afterAutospacing="1" w:line="23" w:lineRule="atLeast"/>
        <w:jc w:val="left"/>
      </w:pPr>
      <w:r>
        <w:rPr>
          <w:rFonts w:ascii="Calibri" w:hAnsi="Calibri" w:cs="Calibri"/>
          <w:kern w:val="2"/>
          <w:sz w:val="21"/>
          <w:szCs w:val="21"/>
          <w:lang w:val="en-US" w:eastAsia="zh-CN" w:bidi="ar"/>
        </w:rPr>
        <w:t> </w:t>
      </w:r>
    </w:p>
    <w:p>
      <w:pPr>
        <w:pStyle w:val="3"/>
        <w:keepNext w:val="0"/>
        <w:keepLines w:val="0"/>
        <w:widowControl/>
        <w:autoSpaceDE w:val="0"/>
        <w:autoSpaceDN w:val="0"/>
        <w:spacing w:beforeAutospacing="1" w:afterAutospacing="1" w:line="23" w:lineRule="atLeast"/>
        <w:jc w:val="left"/>
      </w:pPr>
      <w:r>
        <w:rPr>
          <w:rFonts w:ascii="Calibri" w:hAnsi="Calibri" w:cs="Calibri"/>
          <w:kern w:val="2"/>
          <w:sz w:val="21"/>
          <w:szCs w:val="21"/>
          <w:lang w:val="en-US" w:eastAsia="zh-CN" w:bidi="ar"/>
        </w:rPr>
        <w:t> </w:t>
      </w:r>
    </w:p>
    <w:p>
      <w:pPr>
        <w:pStyle w:val="3"/>
        <w:keepNext w:val="0"/>
        <w:keepLines w:val="0"/>
        <w:widowControl/>
        <w:autoSpaceDE w:val="0"/>
        <w:autoSpaceDN w:val="0"/>
        <w:spacing w:beforeAutospacing="1" w:afterAutospacing="1" w:line="23" w:lineRule="atLeast"/>
        <w:jc w:val="left"/>
      </w:pPr>
      <w:r>
        <w:rPr>
          <w:rFonts w:ascii="Calibri" w:hAnsi="Calibri" w:cs="Calibri"/>
          <w:kern w:val="2"/>
          <w:sz w:val="21"/>
          <w:szCs w:val="21"/>
          <w:lang w:val="en-US" w:eastAsia="zh-CN" w:bidi="ar"/>
        </w:rPr>
        <w:t> </w:t>
      </w:r>
    </w:p>
    <w:p>
      <w:pPr>
        <w:pStyle w:val="3"/>
        <w:keepNext w:val="0"/>
        <w:keepLines w:val="0"/>
        <w:widowControl/>
        <w:autoSpaceDE w:val="0"/>
        <w:autoSpaceDN w:val="0"/>
        <w:spacing w:beforeAutospacing="1" w:afterAutospacing="1" w:line="23" w:lineRule="atLeast"/>
        <w:jc w:val="left"/>
      </w:pPr>
      <w:r>
        <w:rPr>
          <w:rFonts w:ascii="Calibri" w:hAnsi="Calibri" w:cs="Calibri"/>
          <w:kern w:val="2"/>
          <w:sz w:val="21"/>
          <w:szCs w:val="21"/>
          <w:lang w:val="en-US" w:eastAsia="zh-CN" w:bidi="ar"/>
        </w:rPr>
        <w:t> </w:t>
      </w:r>
    </w:p>
    <w:p>
      <w:pPr>
        <w:pStyle w:val="3"/>
        <w:keepNext w:val="0"/>
        <w:keepLines w:val="0"/>
        <w:widowControl/>
        <w:autoSpaceDE w:val="0"/>
        <w:autoSpaceDN w:val="0"/>
        <w:spacing w:beforeAutospacing="1" w:afterAutospacing="1" w:line="23" w:lineRule="atLeast"/>
        <w:jc w:val="left"/>
        <w:rPr>
          <w:rFonts w:ascii="Calibri" w:hAnsi="Calibri" w:eastAsia="宋体" w:cs="Calibri"/>
          <w:kern w:val="2"/>
          <w:sz w:val="21"/>
          <w:szCs w:val="21"/>
          <w:lang w:val="en-US" w:eastAsia="zh-CN" w:bidi="ar"/>
        </w:rPr>
      </w:pPr>
      <w:r>
        <w:rPr>
          <w:rFonts w:ascii="Calibri" w:hAnsi="Calibri" w:cs="Calibri"/>
          <w:kern w:val="2"/>
          <w:sz w:val="21"/>
          <w:szCs w:val="21"/>
          <w:lang w:val="en-US" w:eastAsia="zh-CN" w:bidi="ar"/>
        </w:rPr>
        <w:t> </w:t>
      </w:r>
    </w:p>
    <w:p>
      <w:pPr>
        <w:pStyle w:val="3"/>
        <w:keepNext w:val="0"/>
        <w:keepLines w:val="0"/>
        <w:widowControl/>
        <w:autoSpaceDE w:val="0"/>
        <w:autoSpaceDN w:val="0"/>
        <w:spacing w:beforeAutospacing="1" w:afterAutospacing="1" w:line="23" w:lineRule="atLeast"/>
        <w:jc w:val="left"/>
      </w:pPr>
    </w:p>
    <w:p>
      <w:pPr>
        <w:pStyle w:val="3"/>
        <w:keepNext w:val="0"/>
        <w:keepLines w:val="0"/>
        <w:widowControl/>
        <w:autoSpaceDE w:val="0"/>
        <w:autoSpaceDN w:val="0"/>
        <w:spacing w:beforeAutospacing="1" w:afterAutospacing="1" w:line="23" w:lineRule="atLeast"/>
        <w:jc w:val="left"/>
      </w:pPr>
    </w:p>
    <w:p>
      <w:pPr>
        <w:pStyle w:val="3"/>
        <w:keepNext w:val="0"/>
        <w:keepLines w:val="0"/>
        <w:widowControl/>
        <w:autoSpaceDE w:val="0"/>
        <w:autoSpaceDN w:val="0"/>
        <w:spacing w:beforeAutospacing="1" w:afterAutospacing="1" w:line="23" w:lineRule="atLeast"/>
        <w:jc w:val="left"/>
      </w:pPr>
      <w:r>
        <w:rPr>
          <w:rFonts w:ascii="宋体" w:hAnsi="宋体" w:cs="宋体"/>
          <w:b/>
          <w:bCs w:val="0"/>
          <w:kern w:val="2"/>
          <w:sz w:val="32"/>
          <w:szCs w:val="32"/>
          <w:lang w:val="en-US" w:eastAsia="zh-CN" w:bidi="ar"/>
        </w:rPr>
        <w:t> 第三部分  </w:t>
      </w:r>
      <w:r>
        <w:rPr>
          <w:rFonts w:ascii="宋体" w:hAnsi="宋体" w:eastAsia="宋体" w:cs="宋体"/>
          <w:b/>
          <w:bCs w:val="0"/>
          <w:kern w:val="2"/>
          <w:sz w:val="32"/>
          <w:szCs w:val="32"/>
          <w:lang w:val="en-US" w:eastAsia="zh-CN" w:bidi="ar"/>
        </w:rPr>
        <w:t>2021</w:t>
      </w:r>
      <w:r>
        <w:rPr>
          <w:rFonts w:ascii="宋体" w:hAnsi="宋体" w:cs="宋体"/>
          <w:b/>
          <w:bCs w:val="0"/>
          <w:kern w:val="2"/>
          <w:sz w:val="32"/>
          <w:szCs w:val="32"/>
          <w:lang w:val="en-US" w:eastAsia="zh-CN" w:bidi="ar"/>
        </w:rPr>
        <w:t>年度部门决算情况说明</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 </w:t>
      </w:r>
      <w:r>
        <w:rPr>
          <w:rFonts w:ascii="黑体" w:hAnsi="黑体" w:eastAsia="黑体" w:cs="黑体"/>
          <w:kern w:val="2"/>
          <w:sz w:val="30"/>
          <w:szCs w:val="30"/>
          <w:lang w:val="en-US" w:eastAsia="zh-CN" w:bidi="ar"/>
        </w:rPr>
        <w:t>一、收入决算情况说明</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本部门2021年度收入总计</w:t>
      </w:r>
      <w:r>
        <w:rPr>
          <w:rFonts w:ascii="宋体" w:hAnsi="宋体" w:eastAsia="宋体" w:cs="宋体"/>
          <w:i w:val="0"/>
          <w:iCs w:val="0"/>
          <w:color w:val="000000"/>
          <w:kern w:val="0"/>
          <w:sz w:val="28"/>
          <w:szCs w:val="28"/>
          <w:lang w:val="en-US" w:eastAsia="zh-CN" w:bidi="ar"/>
        </w:rPr>
        <w:t>2057.92</w:t>
      </w:r>
      <w:r>
        <w:rPr>
          <w:rFonts w:ascii="仿宋" w:hAnsi="仿宋" w:eastAsia="仿宋" w:cs="仿宋"/>
          <w:kern w:val="2"/>
          <w:sz w:val="30"/>
          <w:szCs w:val="30"/>
          <w:lang w:val="en-US" w:eastAsia="zh-CN" w:bidi="ar"/>
        </w:rPr>
        <w:t>万元，其中年初结转和结余885.77万元，较2020年减少665.99 万元，下降24.45%；本年收入合计1172.15万元，较2020年减少583.65万元，下降33.24%，主要原因是：该年度乡村振兴项目较上年明显减少。</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本年收入的具体构成为：财政拨款收入1172.15万元，占100%；事业收入0万元，占0%；经营收入0万元，占0%；其他收入0万元，占0 %。  </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二、支出决算情况说明</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本部门2021年度支出总计</w:t>
      </w:r>
      <w:r>
        <w:rPr>
          <w:rFonts w:ascii="宋体" w:hAnsi="宋体" w:eastAsia="宋体" w:cs="宋体"/>
          <w:i w:val="0"/>
          <w:iCs w:val="0"/>
          <w:color w:val="000000"/>
          <w:kern w:val="0"/>
          <w:sz w:val="28"/>
          <w:szCs w:val="28"/>
          <w:lang w:val="en-US" w:eastAsia="zh-CN" w:bidi="ar"/>
        </w:rPr>
        <w:t>2057.92</w:t>
      </w:r>
      <w:r>
        <w:rPr>
          <w:rFonts w:ascii="仿宋" w:hAnsi="仿宋" w:eastAsia="仿宋" w:cs="仿宋"/>
          <w:kern w:val="2"/>
          <w:sz w:val="30"/>
          <w:szCs w:val="30"/>
          <w:lang w:val="en-US" w:eastAsia="zh-CN" w:bidi="ar"/>
        </w:rPr>
        <w:t>万元，其中本年支出合计2057.92万元，较2020年减少665.99万元，下降24.45%，主要原因是：该年度乡村振兴项目较上年明显减少；年末结转和结余 0万元，较2020年减少885.77万元，下降100%，主要原因是：</w:t>
      </w:r>
      <w:r>
        <w:rPr>
          <w:rFonts w:ascii="仿宋" w:hAnsi="仿宋" w:eastAsia="仿宋" w:cs="仿宋"/>
          <w:color w:val="000000"/>
          <w:kern w:val="2"/>
          <w:sz w:val="32"/>
          <w:szCs w:val="32"/>
          <w:shd w:val="clear" w:fill="FFFFFF"/>
          <w:lang w:val="en-US" w:eastAsia="zh-CN" w:bidi="ar"/>
        </w:rPr>
        <w:t>年末结余指标财政全部收回</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本年支出的具体构成为：基本支出1147.31万元，占55.75%；项目支出910.61万元，占44.25%；经营支出0万元，占0%；其他支出（对附属单位补助支出、上缴上级支出）0万元，占0 %。</w:t>
      </w:r>
    </w:p>
    <w:p>
      <w:pPr>
        <w:pStyle w:val="3"/>
        <w:keepNext w:val="0"/>
        <w:keepLines w:val="0"/>
        <w:widowControl/>
        <w:spacing w:beforeAutospacing="1" w:afterAutospacing="1"/>
        <w:ind w:firstLine="630"/>
        <w:jc w:val="left"/>
        <w:rPr>
          <w:color w:val="000000" w:themeColor="text1"/>
          <w14:textFill>
            <w14:solidFill>
              <w14:schemeClr w14:val="tx1"/>
            </w14:solidFill>
          </w14:textFill>
        </w:rPr>
      </w:pPr>
      <w:r>
        <w:rPr>
          <w:rFonts w:ascii="黑体" w:hAnsi="黑体" w:eastAsia="黑体" w:cs="黑体"/>
          <w:color w:val="000000" w:themeColor="text1"/>
          <w:kern w:val="2"/>
          <w:sz w:val="30"/>
          <w:szCs w:val="30"/>
          <w:lang w:val="en-US" w:eastAsia="zh-CN" w:bidi="ar"/>
          <w14:textFill>
            <w14:solidFill>
              <w14:schemeClr w14:val="tx1"/>
            </w14:solidFill>
          </w14:textFill>
        </w:rPr>
        <w:t>三、财政拨款支出决算情况说明</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本部门2021年度财政拨款本年支出年初预算数为</w:t>
      </w:r>
      <w:r>
        <w:rPr>
          <w:rFonts w:ascii="宋体" w:hAnsi="宋体" w:eastAsia="宋体" w:cs="宋体"/>
          <w:i w:val="0"/>
          <w:iCs w:val="0"/>
          <w:kern w:val="0"/>
          <w:sz w:val="28"/>
          <w:szCs w:val="28"/>
          <w:lang w:val="en-US" w:eastAsia="zh-CN" w:bidi="ar"/>
        </w:rPr>
        <w:t>2057.92</w:t>
      </w:r>
      <w:r>
        <w:rPr>
          <w:rFonts w:ascii="仿宋" w:hAnsi="仿宋" w:eastAsia="仿宋" w:cs="仿宋"/>
          <w:kern w:val="2"/>
          <w:sz w:val="30"/>
          <w:szCs w:val="30"/>
          <w:lang w:val="en-US" w:eastAsia="zh-CN" w:bidi="ar"/>
        </w:rPr>
        <w:t>万元，决算数为</w:t>
      </w:r>
      <w:r>
        <w:rPr>
          <w:rFonts w:ascii="宋体" w:hAnsi="宋体" w:eastAsia="宋体" w:cs="宋体"/>
          <w:i w:val="0"/>
          <w:iCs w:val="0"/>
          <w:kern w:val="0"/>
          <w:sz w:val="28"/>
          <w:szCs w:val="28"/>
          <w:lang w:val="en-US" w:eastAsia="zh-CN" w:bidi="ar"/>
        </w:rPr>
        <w:t>2057.92</w:t>
      </w:r>
      <w:r>
        <w:rPr>
          <w:rFonts w:ascii="仿宋" w:hAnsi="仿宋" w:eastAsia="仿宋" w:cs="仿宋"/>
          <w:kern w:val="2"/>
          <w:sz w:val="30"/>
          <w:szCs w:val="30"/>
          <w:lang w:val="en-US" w:eastAsia="zh-CN" w:bidi="ar"/>
        </w:rPr>
        <w:t>万元，完成年初预算的100%。其中：</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（一）一般公共服务支出年初预算数为632.54万元，决算数为632.54万元，完成年初预算的100%，主要原因是：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（二）文化旅游体育与传媒支出年初预算数为2万元，决算数为2万元，完成年初预算的100%，主要原因是：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（三）社会保障和就业支出年初预算数为35.2万元，决算数为35.2万元，完成年初预算的100%，主要原因是：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00"/>
        <w:jc w:val="left"/>
      </w:pPr>
      <w:r>
        <w:rPr>
          <w:rFonts w:ascii="仿宋" w:hAnsi="仿宋" w:eastAsia="仿宋" w:cs="仿宋"/>
          <w:kern w:val="2"/>
          <w:sz w:val="30"/>
          <w:szCs w:val="30"/>
          <w:lang w:val="en-US" w:eastAsia="zh-CN" w:bidi="ar"/>
        </w:rPr>
        <w:t>（四）卫生健康支出年初预算数为1.56万元，决算数为1.56万元，完成年初预算的100%，主要原因是：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00"/>
        <w:jc w:val="left"/>
      </w:pPr>
      <w:r>
        <w:rPr>
          <w:rFonts w:ascii="仿宋" w:hAnsi="仿宋" w:eastAsia="仿宋" w:cs="仿宋"/>
          <w:kern w:val="2"/>
          <w:sz w:val="30"/>
          <w:szCs w:val="30"/>
          <w:lang w:val="en-US" w:eastAsia="zh-CN" w:bidi="ar"/>
        </w:rPr>
        <w:t>（五）节能环保支出年初预算数为61.89万元，决算数为61.89 万元，完成年初预算的100%，主要原因是：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r>
        <w:rPr>
          <w:rFonts w:ascii="仿宋" w:hAnsi="仿宋" w:eastAsia="仿宋" w:cs="仿宋"/>
          <w:kern w:val="2"/>
          <w:sz w:val="30"/>
          <w:szCs w:val="30"/>
          <w:lang w:val="en-US" w:eastAsia="zh-CN" w:bidi="ar"/>
        </w:rPr>
        <w:t>（六）城乡社区支出年初预算数为320.19万元，决算数为320.19万元，完成年初预算的100%，主要原因是：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r>
        <w:rPr>
          <w:rFonts w:ascii="仿宋" w:hAnsi="仿宋" w:eastAsia="仿宋" w:cs="仿宋"/>
          <w:kern w:val="2"/>
          <w:sz w:val="30"/>
          <w:szCs w:val="30"/>
          <w:lang w:val="en-US" w:eastAsia="zh-CN" w:bidi="ar"/>
        </w:rPr>
        <w:t>（七）农林水支出年初预算数为987.74万元，决算数为987.74万元，完成年初预算的100%，主要原因是：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rPr>
          <w:rFonts w:ascii="仿宋" w:hAnsi="仿宋" w:eastAsia="仿宋" w:cs="仿宋"/>
          <w:kern w:val="2"/>
          <w:sz w:val="30"/>
          <w:szCs w:val="30"/>
          <w:lang w:val="en-US" w:eastAsia="zh-CN" w:bidi="ar"/>
        </w:rPr>
      </w:pPr>
      <w:r>
        <w:rPr>
          <w:rFonts w:ascii="仿宋" w:hAnsi="仿宋" w:eastAsia="仿宋" w:cs="仿宋"/>
          <w:kern w:val="2"/>
          <w:sz w:val="30"/>
          <w:szCs w:val="30"/>
          <w:lang w:val="en-US" w:eastAsia="zh-CN" w:bidi="ar"/>
        </w:rPr>
        <w:t>（八）自然资源海洋气象等支出年初预算数为16.8万元，决算数为16.8万元，完成年初预算的100%，主要原因是：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jc w:val="left"/>
      </w:pPr>
      <w:r>
        <w:rPr>
          <w:rFonts w:ascii="黑体" w:hAnsi="黑体" w:eastAsia="黑体" w:cs="黑体"/>
          <w:kern w:val="2"/>
          <w:sz w:val="30"/>
          <w:szCs w:val="30"/>
          <w:lang w:val="en-US" w:eastAsia="zh-CN" w:bidi="ar"/>
        </w:rPr>
        <w:t>四、一般公共预算财政拨款基本支出决算情况说明</w:t>
      </w:r>
    </w:p>
    <w:p>
      <w:pPr>
        <w:pStyle w:val="3"/>
        <w:keepNext w:val="0"/>
        <w:keepLines w:val="0"/>
        <w:widowControl/>
        <w:spacing w:beforeAutospacing="1" w:afterAutospacing="1"/>
        <w:ind w:firstLine="585"/>
        <w:jc w:val="left"/>
      </w:pPr>
      <w:r>
        <w:rPr>
          <w:rFonts w:ascii="仿宋" w:hAnsi="仿宋" w:eastAsia="仿宋" w:cs="仿宋"/>
          <w:kern w:val="2"/>
          <w:sz w:val="30"/>
          <w:szCs w:val="30"/>
          <w:lang w:val="en-US" w:eastAsia="zh-CN" w:bidi="ar"/>
        </w:rPr>
        <w:t>本部门2021年度一般公共预算财政拨款基本支出1147.3万元，其中：</w:t>
      </w:r>
    </w:p>
    <w:p>
      <w:pPr>
        <w:pStyle w:val="3"/>
        <w:keepNext w:val="0"/>
        <w:keepLines w:val="0"/>
        <w:widowControl/>
        <w:spacing w:beforeAutospacing="1" w:afterAutospacing="1"/>
        <w:ind w:firstLine="585"/>
        <w:jc w:val="left"/>
      </w:pPr>
      <w:r>
        <w:rPr>
          <w:rFonts w:ascii="仿宋" w:hAnsi="仿宋" w:eastAsia="仿宋" w:cs="仿宋"/>
          <w:kern w:val="2"/>
          <w:sz w:val="30"/>
          <w:szCs w:val="30"/>
          <w:lang w:val="en-US" w:eastAsia="zh-CN" w:bidi="ar"/>
        </w:rPr>
        <w:t>（一）工资福利支出957.64万元，较2020年增加421.03万元，增长78.46%，主要原因是：人员正常增加及工资进级等。</w:t>
      </w:r>
    </w:p>
    <w:p>
      <w:pPr>
        <w:pStyle w:val="3"/>
        <w:keepNext w:val="0"/>
        <w:keepLines w:val="0"/>
        <w:widowControl/>
        <w:spacing w:beforeAutospacing="1" w:afterAutospacing="1"/>
        <w:ind w:firstLine="585"/>
        <w:jc w:val="left"/>
      </w:pPr>
      <w:r>
        <w:rPr>
          <w:rFonts w:ascii="仿宋" w:hAnsi="仿宋" w:eastAsia="仿宋" w:cs="仿宋"/>
          <w:kern w:val="2"/>
          <w:sz w:val="30"/>
          <w:szCs w:val="30"/>
          <w:lang w:val="en-US" w:eastAsia="zh-CN" w:bidi="ar"/>
        </w:rPr>
        <w:t>（二）商品和服务支出148.44万元，较2020年减少7.89万元，减少5.05%，主要原因是：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585"/>
        <w:jc w:val="left"/>
      </w:pPr>
      <w:r>
        <w:rPr>
          <w:rFonts w:ascii="仿宋" w:hAnsi="仿宋" w:eastAsia="仿宋" w:cs="仿宋"/>
          <w:kern w:val="2"/>
          <w:sz w:val="30"/>
          <w:szCs w:val="30"/>
          <w:lang w:val="en-US" w:eastAsia="zh-CN" w:bidi="ar"/>
        </w:rPr>
        <w:t>（三）对个人和家庭补助支出41.23万元，较2020年增加12.83万元，增长45.18%，主要原因是：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jc w:val="left"/>
      </w:pPr>
      <w:r>
        <w:rPr>
          <w:rFonts w:ascii="仿宋" w:hAnsi="仿宋" w:eastAsia="仿宋" w:cs="仿宋"/>
          <w:kern w:val="2"/>
          <w:sz w:val="30"/>
          <w:szCs w:val="30"/>
          <w:lang w:val="en-US" w:eastAsia="zh-CN" w:bidi="ar"/>
        </w:rPr>
        <w:t>（四）资本性支出0万元，较2020年增加（减少）0万元，增长（下降）0%，主要原因是：没有支出。</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五、一般公共预算财政拨款“三公”经费支出决算情况说明</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本部门2021年度一般公共预算财政拨款“三公”经费支出年初预算数为18.67万元，决算数为18.67万元，完成预算的100%，决算数较2020年增加10.67万元，增加133.38%，其中：</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（一）因公出国（境）支出年初预算数为0万元，决算数为  0万元，完成预算的0 %，决算数较2020年增加（减少）0 万元，增长（下降0%，主要原因是。决算数较年初预算数增加（减少）的主要原因是：无。全年安排因公出国（境）团组  个，累计  人次，主要为：无。</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（二）公务接待费支出年初预算数为14.27万元，决算数为14.27万元，完成预算的 100%，决算数较2020年增加10.27万元，增长256.75%，主要原因是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决算数较年初预算数增加（减少）的主要原因是：。全年国内公务接待180批，累计接待900人次，其中外事接待 0批，累计接待0人次，主要为：机关食堂分列出公务接待费。</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（三）公务用车购置及运行维护费支出 4.39万元，其中公务用车购置年初预算数为 0万元，决算数为 0万元，完成预算的 0%，决算数较2020年增加（减少）0万元，增长（下降）0 %，主要原因是，全年购置公务用车0辆。决算数较年初预算数增加（减少）的主要原因是：；公务用车运行维护费支出年初预算数为4.39万元，决算数为4.39万元，完成预算的100 %，决算数较2020年增加0.39万元，增加9.75 %，主要原因是</w:t>
      </w:r>
      <w:r>
        <w:rPr>
          <w:rFonts w:ascii="仿宋" w:hAnsi="仿宋" w:eastAsia="仿宋" w:cs="仿宋"/>
          <w:color w:val="000000"/>
          <w:kern w:val="2"/>
          <w:sz w:val="32"/>
          <w:szCs w:val="32"/>
          <w:shd w:val="clear" w:fill="FFFFFF"/>
          <w:lang w:val="en-US" w:eastAsia="zh-CN" w:bidi="ar"/>
        </w:rPr>
        <w:t>单位正常运转支出</w:t>
      </w:r>
      <w:r>
        <w:rPr>
          <w:rFonts w:ascii="仿宋" w:hAnsi="仿宋" w:eastAsia="仿宋" w:cs="仿宋"/>
          <w:kern w:val="2"/>
          <w:sz w:val="30"/>
          <w:szCs w:val="30"/>
          <w:lang w:val="en-US" w:eastAsia="zh-CN" w:bidi="ar"/>
        </w:rPr>
        <w:t>，年末公务用车保有1辆。决算数较年初预算数增加（减少）的主要原因是：无。</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六、机关运行经费支出情况说明</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本部门2021年度机关运行经费支出148.44万元（与部门决算中行政单位和参照公务员法管理事业单位一般公共预算财政拨款基本支出中公用经费之和一致），较年初预算数（或者上年决算数）增加（减少） 0 万元，增长（降低）0  %，主要原因是：办公设施设备购置经费增加（减少）/资产运行维护支出增加（减少）/信息系统运行维护支出增加（减少）/人员编制数量增加（减少）/落实过紧日子要求压减XX支出/......等（具体增减原因由部门根据实际情况填列）。</w:t>
      </w:r>
    </w:p>
    <w:p>
      <w:pPr>
        <w:pStyle w:val="3"/>
        <w:keepNext w:val="0"/>
        <w:keepLines w:val="0"/>
        <w:widowControl/>
        <w:spacing w:beforeAutospacing="1" w:afterAutospacing="1"/>
        <w:ind w:firstLine="630"/>
        <w:jc w:val="left"/>
      </w:pPr>
      <w:r>
        <w:rPr>
          <w:rFonts w:ascii="仿宋" w:hAnsi="仿宋" w:eastAsia="仿宋" w:cs="仿宋"/>
          <w:kern w:val="2"/>
          <w:sz w:val="30"/>
          <w:szCs w:val="30"/>
          <w:lang w:val="en-US" w:eastAsia="zh-CN" w:bidi="ar"/>
        </w:rPr>
        <w:t> </w:t>
      </w:r>
      <w:r>
        <w:rPr>
          <w:rFonts w:ascii="黑体" w:hAnsi="黑体" w:eastAsia="黑体" w:cs="黑体"/>
          <w:kern w:val="2"/>
          <w:sz w:val="30"/>
          <w:szCs w:val="30"/>
          <w:lang w:val="en-US" w:eastAsia="zh-CN" w:bidi="ar"/>
        </w:rPr>
        <w:t>七、政府采购支出情况说明</w:t>
      </w:r>
    </w:p>
    <w:p>
      <w:pPr>
        <w:pStyle w:val="2"/>
        <w:keepNext w:val="0"/>
        <w:keepLines w:val="0"/>
        <w:widowControl/>
        <w:spacing w:beforeAutospacing="1" w:afterAutospacing="1" w:line="600" w:lineRule="atLeast"/>
        <w:ind w:firstLine="600"/>
        <w:jc w:val="left"/>
      </w:pPr>
      <w:r>
        <w:rPr>
          <w:rFonts w:ascii="仿宋" w:hAnsi="仿宋" w:eastAsia="仿宋" w:cs="仿宋"/>
          <w:kern w:val="0"/>
          <w:sz w:val="30"/>
          <w:szCs w:val="30"/>
        </w:rPr>
        <w:t>本部门</w:t>
      </w:r>
      <w:r>
        <w:rPr>
          <w:rFonts w:ascii="仿宋" w:hAnsi="仿宋" w:eastAsia="仿宋" w:cs="仿宋"/>
          <w:kern w:val="0"/>
          <w:sz w:val="30"/>
          <w:szCs w:val="30"/>
          <w:lang w:val="en-US"/>
        </w:rPr>
        <w:t>2021</w:t>
      </w:r>
      <w:r>
        <w:rPr>
          <w:rFonts w:ascii="仿宋" w:hAnsi="仿宋" w:eastAsia="仿宋" w:cs="仿宋"/>
          <w:kern w:val="0"/>
          <w:sz w:val="30"/>
          <w:szCs w:val="30"/>
        </w:rPr>
        <w:t xml:space="preserve">年度政府采购支出总额  0 万元、政府采购服务支出 0万元。授予中小企业合同金额0万元，占政府采购支出总额的 </w:t>
      </w:r>
      <w:r>
        <w:rPr>
          <w:rFonts w:ascii="仿宋" w:hAnsi="仿宋" w:eastAsia="仿宋" w:cs="仿宋"/>
          <w:kern w:val="0"/>
          <w:sz w:val="30"/>
          <w:szCs w:val="30"/>
          <w:lang w:val="en-US" w:eastAsia="zh-CN"/>
        </w:rPr>
        <w:t>0</w:t>
      </w:r>
      <w:r>
        <w:rPr>
          <w:rFonts w:ascii="仿宋" w:hAnsi="仿宋" w:eastAsia="仿宋" w:cs="仿宋"/>
          <w:kern w:val="0"/>
          <w:sz w:val="30"/>
          <w:szCs w:val="30"/>
        </w:rPr>
        <w:t xml:space="preserve"> %，其中：授予小微企业合同金额 </w:t>
      </w:r>
      <w:r>
        <w:rPr>
          <w:rFonts w:ascii="仿宋" w:hAnsi="仿宋" w:eastAsia="仿宋" w:cs="仿宋"/>
          <w:kern w:val="0"/>
          <w:sz w:val="30"/>
          <w:szCs w:val="30"/>
          <w:lang w:val="en-US" w:eastAsia="zh-CN"/>
        </w:rPr>
        <w:t>0</w:t>
      </w:r>
      <w:r>
        <w:rPr>
          <w:rFonts w:ascii="仿宋" w:hAnsi="仿宋" w:eastAsia="仿宋" w:cs="仿宋"/>
          <w:kern w:val="0"/>
          <w:sz w:val="30"/>
          <w:szCs w:val="30"/>
        </w:rPr>
        <w:t> 万元，占政府采购支出总额的  </w:t>
      </w:r>
      <w:r>
        <w:rPr>
          <w:rFonts w:ascii="仿宋" w:hAnsi="仿宋" w:eastAsia="仿宋" w:cs="仿宋"/>
          <w:kern w:val="0"/>
          <w:sz w:val="30"/>
          <w:szCs w:val="30"/>
          <w:lang w:val="en-US" w:eastAsia="zh-CN"/>
        </w:rPr>
        <w:t>0</w:t>
      </w:r>
      <w:r>
        <w:rPr>
          <w:rFonts w:ascii="仿宋" w:hAnsi="仿宋" w:eastAsia="仿宋" w:cs="仿宋"/>
          <w:kern w:val="0"/>
          <w:sz w:val="30"/>
          <w:szCs w:val="30"/>
        </w:rPr>
        <w:t>%。（部门公开的政府采购金额的计算口径为：本部门纳入</w:t>
      </w:r>
      <w:r>
        <w:rPr>
          <w:rFonts w:ascii="仿宋" w:hAnsi="仿宋" w:eastAsia="仿宋" w:cs="仿宋"/>
          <w:kern w:val="0"/>
          <w:sz w:val="30"/>
          <w:szCs w:val="30"/>
          <w:lang w:val="en-US"/>
        </w:rPr>
        <w:t>2021</w:t>
      </w:r>
      <w:r>
        <w:rPr>
          <w:rFonts w:ascii="仿宋" w:hAnsi="仿宋" w:eastAsia="仿宋" w:cs="仿宋"/>
          <w:kern w:val="0"/>
          <w:sz w:val="30"/>
          <w:szCs w:val="30"/>
        </w:rPr>
        <w:t>年部门预算范围的各项政府采购支出金额之和，不包括涉密采购项目的支出金额。）</w:t>
      </w:r>
    </w:p>
    <w:p>
      <w:pPr>
        <w:pStyle w:val="3"/>
        <w:keepNext w:val="0"/>
        <w:keepLines w:val="0"/>
        <w:widowControl/>
        <w:spacing w:beforeAutospacing="1" w:afterAutospacing="1"/>
        <w:ind w:firstLine="630"/>
        <w:jc w:val="left"/>
      </w:pPr>
      <w:r>
        <w:rPr>
          <w:rFonts w:ascii="黑体" w:hAnsi="黑体" w:eastAsia="黑体" w:cs="黑体"/>
          <w:kern w:val="2"/>
          <w:sz w:val="30"/>
          <w:szCs w:val="30"/>
          <w:lang w:val="en-US" w:eastAsia="zh-CN" w:bidi="ar"/>
        </w:rPr>
        <w:t>八、国有资产占用情况说明。</w:t>
      </w:r>
    </w:p>
    <w:p>
      <w:pPr>
        <w:pStyle w:val="3"/>
        <w:keepNext w:val="0"/>
        <w:keepLines w:val="0"/>
        <w:widowControl/>
        <w:spacing w:beforeAutospacing="1" w:afterAutospacing="1"/>
        <w:ind w:firstLine="630"/>
        <w:jc w:val="left"/>
        <w:rPr>
          <w:rFonts w:ascii="仿宋" w:hAnsi="仿宋" w:eastAsia="仿宋" w:cs="仿宋"/>
          <w:kern w:val="0"/>
          <w:sz w:val="30"/>
          <w:szCs w:val="30"/>
          <w:lang w:val="en-US" w:eastAsia="zh-CN" w:bidi="ar"/>
        </w:rPr>
      </w:pPr>
      <w:r>
        <w:rPr>
          <w:rFonts w:ascii="仿宋" w:hAnsi="仿宋" w:eastAsia="仿宋" w:cs="仿宋"/>
          <w:kern w:val="0"/>
          <w:sz w:val="30"/>
          <w:szCs w:val="30"/>
          <w:lang w:val="en-US" w:eastAsia="zh-CN" w:bidi="ar"/>
        </w:rPr>
        <w:t>截止2021年12月31日，本部门（单位）国有资产占用情况见公开10表《国有资产占用情况表》，主要是主要领导干部用车。</w:t>
      </w:r>
    </w:p>
    <w:p>
      <w:pPr>
        <w:pStyle w:val="3"/>
        <w:keepNext w:val="0"/>
        <w:keepLines w:val="0"/>
        <w:widowControl/>
        <w:numPr>
          <w:ilvl w:val="0"/>
          <w:numId w:val="2"/>
        </w:numPr>
        <w:spacing w:beforeAutospacing="1" w:afterAutospacing="1"/>
        <w:ind w:firstLine="630"/>
        <w:jc w:val="left"/>
        <w:rPr>
          <w:rFonts w:ascii="黑体" w:hAnsi="黑体" w:eastAsia="黑体" w:cs="黑体"/>
          <w:kern w:val="2"/>
          <w:sz w:val="30"/>
          <w:szCs w:val="30"/>
          <w:lang w:val="en-US" w:eastAsia="zh-CN" w:bidi="ar"/>
        </w:rPr>
      </w:pPr>
      <w:r>
        <w:rPr>
          <w:rFonts w:ascii="黑体" w:hAnsi="黑体" w:eastAsia="黑体" w:cs="黑体"/>
          <w:kern w:val="2"/>
          <w:sz w:val="30"/>
          <w:szCs w:val="30"/>
          <w:lang w:val="en-US" w:eastAsia="zh-CN" w:bidi="ar"/>
        </w:rPr>
        <w:t>预算绩效情况说明</w:t>
      </w:r>
    </w:p>
    <w:p>
      <w:pPr>
        <w:pStyle w:val="3"/>
        <w:keepNext w:val="0"/>
        <w:keepLines w:val="0"/>
        <w:widowControl/>
        <w:numPr>
          <w:ilvl w:val="0"/>
          <w:numId w:val="0"/>
        </w:numPr>
        <w:spacing w:beforeAutospacing="1" w:afterAutospacing="1"/>
        <w:jc w:val="left"/>
      </w:pPr>
      <w:r>
        <w:rPr>
          <w:rFonts w:ascii="仿宋" w:hAnsi="仿宋" w:eastAsia="仿宋" w:cs="仿宋"/>
          <w:kern w:val="0"/>
          <w:sz w:val="30"/>
          <w:szCs w:val="30"/>
          <w:lang w:val="en-US" w:eastAsia="zh-CN" w:bidi="ar"/>
        </w:rPr>
        <w:t>（一）绩效管理工作开展情况。</w:t>
      </w:r>
    </w:p>
    <w:p>
      <w:pPr>
        <w:pStyle w:val="3"/>
        <w:keepNext w:val="0"/>
        <w:keepLines w:val="0"/>
        <w:widowControl/>
        <w:autoSpaceDE w:val="0"/>
        <w:autoSpaceDN w:val="0"/>
        <w:spacing w:beforeAutospacing="1" w:afterAutospacing="1" w:line="23" w:lineRule="atLeast"/>
        <w:ind w:firstLine="600" w:firstLineChars="200"/>
        <w:jc w:val="left"/>
      </w:pPr>
      <w:r>
        <w:rPr>
          <w:rFonts w:ascii="仿宋" w:hAnsi="仿宋" w:eastAsia="仿宋" w:cs="仿宋"/>
          <w:kern w:val="0"/>
          <w:sz w:val="30"/>
          <w:szCs w:val="30"/>
          <w:lang w:val="en-US" w:eastAsia="zh-CN" w:bidi="ar"/>
        </w:rPr>
        <w:t>根据预算绩效管理要求，我部门组织对</w:t>
      </w:r>
      <w:r>
        <w:rPr>
          <w:rFonts w:ascii="仿宋" w:hAnsi="仿宋" w:eastAsia="仿宋" w:cs="仿宋_GB2312"/>
          <w:kern w:val="0"/>
          <w:sz w:val="30"/>
          <w:szCs w:val="30"/>
          <w:lang w:val="en-US" w:eastAsia="zh-CN" w:bidi="ar"/>
        </w:rPr>
        <w:t>2021</w:t>
      </w:r>
      <w:r>
        <w:rPr>
          <w:rFonts w:ascii="仿宋" w:hAnsi="仿宋" w:eastAsia="仿宋" w:cs="仿宋"/>
          <w:kern w:val="0"/>
          <w:sz w:val="30"/>
          <w:szCs w:val="30"/>
          <w:lang w:val="en-US" w:eastAsia="zh-CN" w:bidi="ar"/>
        </w:rPr>
        <w:t>年度一般公共预算项目支出所有二级项目</w:t>
      </w:r>
      <w:r>
        <w:rPr>
          <w:rFonts w:ascii="仿宋" w:hAnsi="仿宋" w:eastAsia="仿宋" w:cs="仿宋_GB2312"/>
          <w:kern w:val="0"/>
          <w:sz w:val="30"/>
          <w:szCs w:val="30"/>
          <w:lang w:val="en-US" w:eastAsia="zh-CN" w:bidi="ar"/>
        </w:rPr>
        <w:t>1个</w:t>
      </w:r>
      <w:r>
        <w:rPr>
          <w:rFonts w:ascii="仿宋" w:hAnsi="仿宋" w:eastAsia="仿宋" w:cs="仿宋"/>
          <w:kern w:val="0"/>
          <w:sz w:val="30"/>
          <w:szCs w:val="30"/>
          <w:lang w:val="en-US" w:eastAsia="zh-CN" w:bidi="ar"/>
        </w:rPr>
        <w:t>全面开展绩效自评，共涉及资金250万元，占一般公共预算项目支出总额的34.57%。    </w:t>
      </w:r>
    </w:p>
    <w:p>
      <w:pPr>
        <w:pStyle w:val="3"/>
        <w:keepNext w:val="0"/>
        <w:keepLines w:val="0"/>
        <w:widowControl/>
        <w:autoSpaceDE w:val="0"/>
        <w:autoSpaceDN w:val="0"/>
        <w:spacing w:beforeAutospacing="1" w:afterAutospacing="1" w:line="23" w:lineRule="atLeast"/>
        <w:jc w:val="left"/>
      </w:pPr>
      <w:r>
        <w:rPr>
          <w:rFonts w:ascii="仿宋" w:hAnsi="仿宋" w:eastAsia="仿宋" w:cs="仿宋"/>
          <w:kern w:val="0"/>
          <w:sz w:val="30"/>
          <w:szCs w:val="30"/>
          <w:lang w:val="en-US" w:eastAsia="zh-CN" w:bidi="ar"/>
        </w:rPr>
        <w:t>（二）部门决算中项目绩效自评结果。</w:t>
      </w:r>
    </w:p>
    <w:p>
      <w:pPr>
        <w:pStyle w:val="3"/>
        <w:keepNext w:val="0"/>
        <w:keepLines w:val="0"/>
        <w:widowControl/>
        <w:autoSpaceDE w:val="0"/>
        <w:autoSpaceDN w:val="0"/>
        <w:spacing w:beforeAutospacing="1" w:afterAutospacing="1" w:line="23" w:lineRule="atLeast"/>
        <w:ind w:firstLine="585"/>
        <w:jc w:val="left"/>
        <w:rPr>
          <w:rFonts w:hint="eastAsia" w:eastAsia="仿宋"/>
          <w:lang w:val="en-US" w:eastAsia="zh-CN"/>
        </w:rPr>
      </w:pPr>
      <w:r>
        <w:rPr>
          <w:rFonts w:ascii="仿宋" w:hAnsi="仿宋" w:eastAsia="仿宋" w:cs="仿宋"/>
          <w:kern w:val="0"/>
          <w:sz w:val="30"/>
          <w:szCs w:val="30"/>
          <w:lang w:val="en-US" w:eastAsia="zh-CN" w:bidi="ar"/>
        </w:rPr>
        <w:t>我部门今年在部门决算中项目绩效自评总体综述：</w:t>
      </w:r>
      <w:r>
        <w:rPr>
          <w:rFonts w:hint="eastAsia" w:ascii="仿宋" w:hAnsi="仿宋" w:eastAsia="仿宋" w:cs="仿宋"/>
          <w:kern w:val="0"/>
          <w:sz w:val="30"/>
          <w:szCs w:val="30"/>
          <w:lang w:val="en-US" w:eastAsia="zh-CN" w:bidi="ar"/>
        </w:rPr>
        <w:t>项目预算数为250万元，执行数250万元，完成预算100%。主要产出和效果：通过项目实施，完成店山村示范点项目建设，项目实施后，美化乡村建设，群众满意度高。</w:t>
      </w:r>
    </w:p>
    <w:p>
      <w:pPr>
        <w:pStyle w:val="3"/>
        <w:keepNext w:val="0"/>
        <w:keepLines w:val="0"/>
        <w:widowControl/>
        <w:numPr>
          <w:ilvl w:val="0"/>
          <w:numId w:val="3"/>
        </w:numPr>
        <w:autoSpaceDE w:val="0"/>
        <w:autoSpaceDN w:val="0"/>
        <w:spacing w:beforeAutospacing="1" w:afterAutospacing="1" w:line="23" w:lineRule="atLeast"/>
        <w:ind w:firstLine="600"/>
        <w:jc w:val="left"/>
        <w:rPr>
          <w:rFonts w:hint="eastAsia" w:ascii="仿宋" w:hAnsi="仿宋" w:eastAsia="仿宋" w:cs="仿宋"/>
          <w:kern w:val="0"/>
          <w:sz w:val="30"/>
          <w:szCs w:val="30"/>
          <w:lang w:val="en-US" w:eastAsia="zh-CN" w:bidi="ar"/>
        </w:rPr>
      </w:pPr>
      <w:r>
        <w:rPr>
          <w:rFonts w:ascii="仿宋" w:hAnsi="仿宋" w:eastAsia="仿宋" w:cs="仿宋"/>
          <w:kern w:val="0"/>
          <w:sz w:val="30"/>
          <w:szCs w:val="30"/>
          <w:lang w:val="en-US" w:eastAsia="zh-CN" w:bidi="ar"/>
        </w:rPr>
        <w:t>部门评价项目绩效评价结果</w:t>
      </w:r>
      <w:r>
        <w:rPr>
          <w:rFonts w:hint="eastAsia" w:ascii="仿宋" w:hAnsi="仿宋" w:eastAsia="仿宋" w:cs="仿宋"/>
          <w:kern w:val="0"/>
          <w:sz w:val="30"/>
          <w:szCs w:val="30"/>
          <w:lang w:val="en-US" w:eastAsia="zh-CN" w:bidi="ar"/>
        </w:rPr>
        <w:t xml:space="preserve"> </w:t>
      </w:r>
    </w:p>
    <w:p>
      <w:pPr>
        <w:pStyle w:val="3"/>
        <w:keepNext w:val="0"/>
        <w:keepLines w:val="0"/>
        <w:widowControl/>
        <w:numPr>
          <w:numId w:val="0"/>
        </w:numPr>
        <w:autoSpaceDE w:val="0"/>
        <w:autoSpaceDN w:val="0"/>
        <w:spacing w:beforeAutospacing="1" w:afterAutospacing="1" w:line="23" w:lineRule="atLeast"/>
        <w:ind w:firstLine="600" w:firstLineChars="200"/>
        <w:jc w:val="left"/>
        <w:rPr>
          <w:rFonts w:hint="eastAsia" w:ascii="仿宋" w:hAnsi="仿宋" w:eastAsia="仿宋" w:cs="仿宋"/>
          <w:kern w:val="0"/>
          <w:sz w:val="30"/>
          <w:szCs w:val="30"/>
          <w:lang w:val="en-US" w:eastAsia="zh-CN" w:bidi="ar"/>
        </w:rPr>
      </w:pPr>
      <w:r>
        <w:rPr>
          <w:rFonts w:hint="eastAsia" w:ascii="仿宋" w:hAnsi="仿宋" w:eastAsia="仿宋" w:cs="仿宋"/>
          <w:kern w:val="0"/>
          <w:sz w:val="30"/>
          <w:szCs w:val="30"/>
          <w:lang w:val="en-US" w:eastAsia="zh-CN" w:bidi="ar"/>
        </w:rPr>
        <w:t>示范点项目的实施，产生了很好的社会效益，提高了人民的满意度。基本实现了年度绩效指标，实施成效明显。示范村项目总体得分95分，绩效评价结果为优。</w:t>
      </w:r>
      <w:bookmarkStart w:id="0" w:name="_GoBack"/>
      <w:bookmarkEnd w:id="0"/>
    </w:p>
    <w:p>
      <w:pPr>
        <w:pStyle w:val="3"/>
        <w:keepNext w:val="0"/>
        <w:keepLines w:val="0"/>
        <w:widowControl/>
        <w:spacing w:beforeAutospacing="1" w:afterAutospacing="1" w:line="600" w:lineRule="exact"/>
        <w:jc w:val="left"/>
      </w:pPr>
      <w:r>
        <w:rPr>
          <w:rFonts w:ascii="宋体" w:hAnsi="宋体" w:cs="宋体"/>
          <w:b/>
          <w:bCs w:val="0"/>
          <w:kern w:val="2"/>
          <w:sz w:val="32"/>
          <w:szCs w:val="32"/>
          <w:lang w:val="en-US" w:eastAsia="zh-CN" w:bidi="ar"/>
        </w:rPr>
        <w:t>第四部分  名词解释</w:t>
      </w:r>
    </w:p>
    <w:p>
      <w:pPr>
        <w:pStyle w:val="3"/>
        <w:keepNext w:val="0"/>
        <w:keepLines w:val="0"/>
        <w:widowControl/>
        <w:spacing w:beforeAutospacing="1" w:afterAutospacing="1"/>
        <w:jc w:val="left"/>
      </w:pPr>
      <w:r>
        <w:rPr>
          <w:rFonts w:ascii="仿宋" w:hAnsi="仿宋" w:eastAsia="仿宋" w:cs="Times New Roman"/>
          <w:kern w:val="2"/>
          <w:sz w:val="30"/>
          <w:szCs w:val="30"/>
          <w:lang w:val="en-US" w:eastAsia="zh-CN" w:bidi="ar"/>
        </w:rPr>
        <w:t> </w:t>
      </w:r>
      <w:r>
        <w:rPr>
          <w:rFonts w:ascii="仿宋" w:hAnsi="仿宋" w:eastAsia="仿宋" w:cs="仿宋"/>
          <w:b/>
          <w:bCs/>
          <w:kern w:val="2"/>
          <w:sz w:val="30"/>
          <w:szCs w:val="30"/>
          <w:lang w:val="en-US" w:eastAsia="zh-CN" w:bidi="ar"/>
        </w:rPr>
        <w:t>一、收入科目</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（一）财政拨款：指县本级财政当年拨付的资金。</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（二）事业收入：指事业单位开展专业业务活动及辅助活动取得的收入。</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（三）事业单位经营收入：指事业单位在专业业务活动及辅助活动之外开展非独立核算经营活动取得的收入。</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（四）其他收入：指除财政拨款、事业收入、事业单位经营收入等以外的各项收入。</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（五）附属单位上缴收入：反映事业单位附属的独立核算单位按规定标准或比例缴纳的各项收入。包括附属的事业单位上缴的收入和附属的企业上缴的利润等。</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（六）上级补助收入：反映事业单位从主管部门和上级单位取得的非财政补助收入。</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（七）使用非财政拨款结余：填列历年滚存的非限定用途的非统计财政拨款结余弥补2021年收支差额的数额。</w:t>
      </w:r>
    </w:p>
    <w:p>
      <w:pPr>
        <w:pStyle w:val="3"/>
        <w:keepNext w:val="0"/>
        <w:keepLines w:val="0"/>
        <w:widowControl/>
        <w:spacing w:beforeAutospacing="1" w:afterAutospacing="1"/>
        <w:ind w:firstLine="567" w:firstLineChars="189"/>
        <w:jc w:val="left"/>
      </w:pPr>
      <w:r>
        <w:rPr>
          <w:rFonts w:ascii="仿宋" w:hAnsi="仿宋" w:eastAsia="仿宋" w:cs="仿宋"/>
          <w:kern w:val="2"/>
          <w:sz w:val="30"/>
          <w:szCs w:val="30"/>
          <w:lang w:val="en-US" w:eastAsia="zh-CN" w:bidi="ar"/>
        </w:rPr>
        <w:t>（八）上年结转和结余：填列2021年全部结转和结余的资金数，包括当年结转结余资金和历年滚存结转结余资金。</w:t>
      </w:r>
    </w:p>
    <w:p>
      <w:pPr>
        <w:pStyle w:val="3"/>
        <w:keepNext w:val="0"/>
        <w:keepLines w:val="0"/>
        <w:widowControl/>
        <w:spacing w:beforeAutospacing="1" w:afterAutospacing="1"/>
        <w:ind w:firstLine="569" w:firstLineChars="189"/>
        <w:jc w:val="left"/>
      </w:pPr>
      <w:r>
        <w:rPr>
          <w:rFonts w:ascii="仿宋" w:hAnsi="仿宋" w:eastAsia="仿宋" w:cs="仿宋"/>
          <w:b/>
          <w:bCs/>
          <w:kern w:val="2"/>
          <w:sz w:val="30"/>
          <w:szCs w:val="30"/>
          <w:lang w:val="en-US" w:eastAsia="zh-CN" w:bidi="ar"/>
        </w:rPr>
        <w:t>二、支出科目</w:t>
      </w:r>
    </w:p>
    <w:p>
      <w:pPr>
        <w:pStyle w:val="3"/>
      </w:pPr>
      <w:r>
        <w:rPr>
          <w:rFonts w:ascii="仿宋_GB2312;仿宋" w:hAnsi="仿宋_GB2312;仿宋" w:eastAsia="仿宋_GB2312;仿宋" w:cs="仿宋_GB2312;仿宋"/>
          <w:color w:val="000000"/>
          <w:kern w:val="0"/>
          <w:sz w:val="30"/>
          <w:szCs w:val="30"/>
        </w:rPr>
        <w:t>（一）“三公”经费支出</w:t>
      </w:r>
      <w:r>
        <w:rPr>
          <w:rFonts w:ascii="仿宋_GB2312;仿宋" w:hAnsi="仿宋_GB2312;仿宋" w:eastAsia="仿宋_GB2312;仿宋" w:cs="仿宋_GB2312;仿宋"/>
          <w:color w:val="000000"/>
          <w:kern w:val="0"/>
          <w:sz w:val="30"/>
          <w:szCs w:val="30"/>
          <w:lang w:eastAsia="zh-CN"/>
        </w:rPr>
        <w:t>：</w:t>
      </w:r>
      <w:r>
        <w:rPr>
          <w:rFonts w:ascii="仿宋_GB2312;仿宋" w:hAnsi="仿宋_GB2312;仿宋" w:eastAsia="仿宋_GB2312;仿宋" w:cs="仿宋_GB2312;仿宋"/>
          <w:color w:val="000000"/>
          <w:kern w:val="0"/>
          <w:sz w:val="30"/>
          <w:szCs w:val="30"/>
          <w:lang w:val="en-US" w:eastAsia="zh-CN"/>
        </w:rPr>
        <w:t>指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pStyle w:val="3"/>
        <w:keepNext w:val="0"/>
        <w:keepLines w:val="0"/>
        <w:widowControl/>
        <w:spacing w:beforeAutospacing="1" w:afterAutospacing="1"/>
        <w:jc w:val="left"/>
      </w:pPr>
      <w:r>
        <w:rPr>
          <w:rFonts w:ascii="仿宋_GB2312;仿宋" w:hAnsi="仿宋_GB2312;仿宋" w:eastAsia="仿宋_GB2312;仿宋" w:cs="仿宋_GB2312;仿宋"/>
          <w:color w:val="000000"/>
          <w:kern w:val="0"/>
          <w:sz w:val="30"/>
          <w:szCs w:val="30"/>
          <w:lang w:val="en-US" w:eastAsia="zh-CN" w:bidi="ar"/>
        </w:rPr>
        <w:t>（二）机关运行经费支出：指用一般公共预算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pStyle w:val="3"/>
        <w:keepNext w:val="0"/>
        <w:keepLines w:val="0"/>
        <w:widowControl/>
        <w:spacing w:beforeAutospacing="1" w:afterAutospacing="1" w:line="580" w:lineRule="exact"/>
        <w:jc w:val="left"/>
      </w:pPr>
      <w:r>
        <w:rPr>
          <w:rFonts w:ascii="仿宋" w:hAnsi="仿宋" w:eastAsia="仿宋" w:cs="Times New Roman"/>
          <w:kern w:val="2"/>
          <w:sz w:val="30"/>
          <w:szCs w:val="30"/>
          <w:lang w:val="en-US" w:eastAsia="zh-CN" w:bidi="ar"/>
        </w:rPr>
        <w:t> </w:t>
      </w:r>
    </w:p>
    <w:p>
      <w:pPr>
        <w:pStyle w:val="3"/>
        <w:keepNext w:val="0"/>
        <w:keepLines w:val="0"/>
        <w:widowControl/>
        <w:spacing w:beforeAutospacing="1" w:afterAutospacing="1"/>
        <w:jc w:val="left"/>
      </w:pPr>
      <w:r>
        <w:rPr>
          <w:rFonts w:ascii="仿宋" w:hAnsi="仿宋" w:eastAsia="仿宋" w:cs="仿宋"/>
          <w:kern w:val="2"/>
          <w:sz w:val="30"/>
          <w:szCs w:val="30"/>
          <w:lang w:val="en-US" w:eastAsia="zh-CN" w:bidi="ar"/>
        </w:rPr>
        <w:t> </w:t>
      </w:r>
    </w:p>
    <w:p>
      <w:pPr>
        <w:pStyle w:val="3"/>
        <w:keepNext w:val="0"/>
        <w:keepLines w:val="0"/>
        <w:widowControl/>
        <w:spacing w:beforeAutospacing="1" w:afterAutospacing="1"/>
        <w:jc w:val="left"/>
      </w:pPr>
      <w:r>
        <w:rPr>
          <w:rFonts w:ascii="仿宋" w:hAnsi="仿宋" w:eastAsia="仿宋" w:cs="仿宋"/>
          <w:kern w:val="2"/>
          <w:sz w:val="30"/>
          <w:szCs w:val="30"/>
          <w:lang w:val="en-US" w:eastAsia="zh-CN" w:bidi="ar"/>
        </w:rPr>
        <w:t> </w:t>
      </w:r>
    </w:p>
    <w:p>
      <w:pPr>
        <w:pStyle w:val="3"/>
        <w:keepNext w:val="0"/>
        <w:keepLines w:val="0"/>
        <w:widowControl/>
        <w:spacing w:beforeAutospacing="1" w:afterAutospacing="1"/>
        <w:jc w:val="left"/>
      </w:pPr>
      <w:r>
        <w:rPr>
          <w:rFonts w:ascii="仿宋" w:hAnsi="仿宋" w:eastAsia="仿宋" w:cs="仿宋"/>
          <w:kern w:val="2"/>
          <w:sz w:val="30"/>
          <w:szCs w:val="30"/>
          <w:lang w:val="en-US" w:eastAsia="zh-CN" w:bidi="ar"/>
        </w:rPr>
        <w:t> </w:t>
      </w:r>
    </w:p>
    <w:p>
      <w:pPr>
        <w:pStyle w:val="3"/>
        <w:keepNext w:val="0"/>
        <w:keepLines w:val="0"/>
        <w:widowControl/>
        <w:spacing w:beforeAutospacing="1" w:afterAutospacing="1"/>
        <w:jc w:val="left"/>
      </w:pPr>
      <w:r>
        <w:rPr>
          <w:rFonts w:ascii="仿宋" w:hAnsi="仿宋" w:eastAsia="仿宋" w:cs="仿宋"/>
          <w:kern w:val="2"/>
          <w:sz w:val="30"/>
          <w:szCs w:val="30"/>
          <w:lang w:val="en-US" w:eastAsia="zh-CN" w:bidi="ar"/>
        </w:rPr>
        <w:t> </w:t>
      </w:r>
    </w:p>
    <w:p>
      <w:pPr>
        <w:pStyle w:val="3"/>
        <w:keepNext w:val="0"/>
        <w:keepLines w:val="0"/>
        <w:widowControl/>
        <w:spacing w:beforeAutospacing="1" w:afterAutospacing="1" w:line="23" w:lineRule="atLeast"/>
        <w:jc w:val="left"/>
      </w:pPr>
      <w:r>
        <w:rPr>
          <w:rFonts w:ascii="仿宋" w:hAnsi="仿宋" w:eastAsia="仿宋" w:cs="仿宋"/>
          <w:kern w:val="2"/>
          <w:sz w:val="30"/>
          <w:szCs w:val="30"/>
          <w:lang w:val="en-US" w:eastAsia="zh-CN" w:bidi="ar"/>
        </w:rPr>
        <w:t> </w:t>
      </w:r>
    </w:p>
    <w:p>
      <w:pPr>
        <w:pStyle w:val="3"/>
        <w:jc w:val="left"/>
      </w:pPr>
    </w:p>
    <w:sectPr>
      <w:pgSz w:w="11906" w:h="16838"/>
      <w:pgMar w:top="1440" w:right="1800" w:bottom="1440" w:left="1800" w:header="0" w:footer="0" w:gutter="0"/>
      <w:pgNumType w:fmt="decimal"/>
      <w:formProt w:val="0"/>
      <w:docGrid w:type="lines" w:linePitch="312" w:charSpace="919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roman"/>
    <w:pitch w:val="default"/>
    <w:sig w:usb0="800002BF" w:usb1="38CF7CFA" w:usb2="00000016" w:usb3="00000000" w:csb0="00040001" w:csb1="00000000"/>
  </w:font>
  <w:font w:name="仿宋_GB2312;仿宋">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9"/>
      <w:numFmt w:val="taiwaneseCountingThousand"/>
      <w:suff w:val="nothing"/>
      <w:lvlText w:val="%1、"/>
      <w:lvlJc w:val="left"/>
      <w:pPr>
        <w:tabs>
          <w:tab w:val="left" w:pos="0"/>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
    <w:nsid w:val="0053208E"/>
    <w:multiLevelType w:val="multilevel"/>
    <w:tmpl w:val="0053208E"/>
    <w:lvl w:ilvl="0" w:tentative="0">
      <w:start w:val="2"/>
      <w:numFmt w:val="taiwaneseCountingThousand"/>
      <w:suff w:val="space"/>
      <w:lvlText w:val="第%1部分"/>
      <w:lvlJc w:val="left"/>
      <w:pPr>
        <w:tabs>
          <w:tab w:val="left" w:pos="0"/>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2">
    <w:nsid w:val="7CBBED6F"/>
    <w:multiLevelType w:val="singleLevel"/>
    <w:tmpl w:val="7CBBED6F"/>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autoHyphenation/>
  <w:displayHorizontalDrawingGridEvery w:val="1"/>
  <w:displayVerticalDrawingGridEvery w:val="1"/>
  <w:noPunctuationKerning w:val="1"/>
  <w:compat>
    <w:balanceSingleByteDoubleByteWidth/>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304891"/>
    <w:rsid w:val="54E97B9D"/>
    <w:rsid w:val="5CB4597C"/>
    <w:rsid w:val="79BB7147"/>
    <w:rsid w:val="7A9551AD"/>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hi-IN"/>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3"/>
    <w:qFormat/>
    <w:uiPriority w:val="0"/>
    <w:pPr>
      <w:spacing w:beforeAutospacing="1" w:afterAutospacing="1"/>
      <w:jc w:val="left"/>
    </w:pPr>
    <w:rPr>
      <w:kern w:val="0"/>
      <w:sz w:val="24"/>
      <w:lang w:val="en-US" w:eastAsia="zh-CN" w:bidi="ar"/>
    </w:rPr>
  </w:style>
  <w:style w:type="paragraph" w:customStyle="1" w:styleId="3">
    <w:name w:val="正文1"/>
    <w:qFormat/>
    <w:uiPriority w:val="0"/>
    <w:pPr>
      <w:widowControl w:val="0"/>
      <w:suppressAutoHyphens w:val="0"/>
      <w:bidi w:val="0"/>
      <w:spacing w:beforeLines="0" w:beforeAutospacing="0" w:afterLines="0" w:afterAutospacing="0"/>
      <w:jc w:val="both"/>
    </w:pPr>
    <w:rPr>
      <w:rFonts w:asciiTheme="minorHAnsi" w:hAnsiTheme="minorHAnsi" w:eastAsiaTheme="minorEastAsia" w:cstheme="minorBidi"/>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9305</Words>
  <Characters>14457</Characters>
  <Paragraphs>2148</Paragraphs>
  <TotalTime>70</TotalTime>
  <ScaleCrop>false</ScaleCrop>
  <LinksUpToDate>false</LinksUpToDate>
  <CharactersWithSpaces>15054</CharactersWithSpaces>
  <Application>WPS Office_10.1.0.7698_F1E327BC-269C-435d-A152-05C5408002CA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2022-04-18T00:22:00Z</dcterms:created>
  <dc:creator>Administrator</dc:creator>
  <cp:lastModifiedBy>Administrator</cp:lastModifiedBy>
  <dcterms:modified xsi:type="dcterms:W3CDTF">2022-09-01T07:42:42Z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977E460679B2477FBBCD85F141EECC38</vt:lpwstr>
  </property>
  <property fmtid="{D5CDD505-2E9C-101B-9397-08002B2CF9AE}" pid="3" name="KSOProductBuildVer">
    <vt:lpwstr>2052-10.1.0.7698</vt:lpwstr>
  </property>
</Properties>
</file>