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hint="eastAsia" w:ascii="黑体" w:hAnsi="黑体" w:eastAsia="黑体"/>
          <w:sz w:val="44"/>
          <w:szCs w:val="36"/>
        </w:rPr>
      </w:pPr>
    </w:p>
    <w:p>
      <w:pPr>
        <w:spacing w:line="60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lang w:eastAsia="zh-CN"/>
        </w:rPr>
        <w:t>共青团兴国县委员会202</w:t>
      </w:r>
      <w:r>
        <w:rPr>
          <w:rFonts w:hint="eastAsia" w:ascii="方正小标宋简体" w:hAnsi="方正小标宋简体" w:eastAsia="方正小标宋简体" w:cs="方正小标宋简体"/>
          <w:sz w:val="44"/>
          <w:szCs w:val="36"/>
          <w:lang w:val="en-US" w:eastAsia="zh-CN"/>
        </w:rPr>
        <w:t>1</w:t>
      </w:r>
      <w:r>
        <w:rPr>
          <w:rFonts w:hint="eastAsia" w:ascii="方正小标宋简体" w:hAnsi="方正小标宋简体" w:eastAsia="方正小标宋简体" w:cs="方正小标宋简体"/>
          <w:sz w:val="44"/>
          <w:szCs w:val="36"/>
        </w:rPr>
        <w:t>年度</w:t>
      </w:r>
      <w:r>
        <w:rPr>
          <w:rFonts w:hint="eastAsia" w:ascii="方正小标宋简体" w:hAnsi="方正小标宋简体" w:eastAsia="方正小标宋简体" w:cs="方正小标宋简体"/>
          <w:sz w:val="44"/>
          <w:szCs w:val="36"/>
          <w:lang w:eastAsia="zh-CN"/>
        </w:rPr>
        <w:t>部门</w:t>
      </w:r>
      <w:r>
        <w:rPr>
          <w:rFonts w:hint="eastAsia" w:ascii="方正小标宋简体" w:hAnsi="方正小标宋简体" w:eastAsia="方正小标宋简体" w:cs="方正小标宋简体"/>
          <w:sz w:val="44"/>
          <w:szCs w:val="36"/>
        </w:rPr>
        <w:t>决算</w:t>
      </w:r>
    </w:p>
    <w:p>
      <w:pPr>
        <w:spacing w:line="600" w:lineRule="exact"/>
        <w:jc w:val="center"/>
        <w:rPr>
          <w:rFonts w:hint="eastAsia" w:ascii="黑体" w:eastAsia="黑体"/>
          <w:sz w:val="44"/>
          <w:szCs w:val="36"/>
        </w:rPr>
      </w:pPr>
    </w:p>
    <w:p>
      <w:pPr>
        <w:spacing w:line="600" w:lineRule="exact"/>
        <w:jc w:val="center"/>
        <w:rPr>
          <w:rFonts w:hint="eastAsia" w:ascii="黑体" w:eastAsia="黑体"/>
          <w:sz w:val="40"/>
          <w:szCs w:val="36"/>
        </w:rPr>
      </w:pPr>
      <w:r>
        <w:rPr>
          <w:rFonts w:hint="eastAsia" w:ascii="黑体" w:eastAsia="黑体"/>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黑体" w:hAnsi="黑体" w:eastAsia="黑体"/>
          <w:b/>
          <w:sz w:val="32"/>
          <w:szCs w:val="32"/>
        </w:rPr>
      </w:pPr>
      <w:r>
        <w:rPr>
          <w:rFonts w:hint="eastAsia" w:ascii="黑体" w:hAnsi="黑体" w:eastAsia="黑体"/>
          <w:b/>
          <w:sz w:val="32"/>
          <w:szCs w:val="32"/>
        </w:rPr>
        <w:t xml:space="preserve">第一部分  </w:t>
      </w:r>
      <w:r>
        <w:rPr>
          <w:rFonts w:hint="eastAsia" w:ascii="黑体" w:hAnsi="黑体" w:eastAsia="黑体"/>
          <w:b w:val="0"/>
          <w:bCs w:val="0"/>
          <w:sz w:val="32"/>
          <w:szCs w:val="32"/>
          <w:lang w:eastAsia="zh-CN"/>
        </w:rPr>
        <w:t>共青团兴国县委员会</w:t>
      </w:r>
      <w:r>
        <w:rPr>
          <w:rFonts w:hint="eastAsia" w:ascii="黑体" w:hAnsi="黑体" w:eastAsia="黑体"/>
          <w:b w:val="0"/>
          <w:bCs w:val="0"/>
          <w:sz w:val="32"/>
          <w:szCs w:val="32"/>
        </w:rPr>
        <w:t>概况</w:t>
      </w:r>
    </w:p>
    <w:p>
      <w:pPr>
        <w:widowControl/>
        <w:spacing w:line="600" w:lineRule="exact"/>
        <w:ind w:firstLine="640"/>
        <w:jc w:val="left"/>
        <w:rPr>
          <w:rFonts w:hint="eastAsia" w:ascii="仿宋_GB2312" w:hAnsi="仿宋_GB2312" w:eastAsia="仿宋_GB2312" w:cs="仿宋_GB2312"/>
          <w:sz w:val="32"/>
          <w:szCs w:val="30"/>
        </w:rPr>
      </w:pPr>
      <w:r>
        <w:rPr>
          <w:rFonts w:hint="eastAsia" w:ascii="仿宋_GB2312" w:hAnsi="仿宋_GB2312" w:eastAsia="仿宋_GB2312" w:cs="仿宋_GB2312"/>
          <w:b/>
          <w:sz w:val="32"/>
          <w:szCs w:val="30"/>
        </w:rPr>
        <w:t xml:space="preserve">    </w:t>
      </w:r>
      <w:r>
        <w:rPr>
          <w:rFonts w:hint="eastAsia" w:ascii="仿宋_GB2312" w:hAnsi="仿宋_GB2312" w:eastAsia="仿宋_GB2312" w:cs="仿宋_GB2312"/>
          <w:sz w:val="32"/>
          <w:szCs w:val="30"/>
        </w:rPr>
        <w:t>一、</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0"/>
        </w:rPr>
        <w:t>主要职责</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二、</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kern w:val="0"/>
          <w:sz w:val="32"/>
          <w:szCs w:val="32"/>
        </w:rPr>
        <w:t>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 xml:space="preserve">第二部分  </w:t>
      </w:r>
      <w:r>
        <w:rPr>
          <w:rFonts w:hint="eastAsia" w:ascii="黑体" w:hAnsi="黑体" w:eastAsia="黑体"/>
          <w:sz w:val="32"/>
          <w:szCs w:val="32"/>
          <w:lang w:eastAsia="zh-CN"/>
        </w:rPr>
        <w:t>2021</w:t>
      </w:r>
      <w:r>
        <w:rPr>
          <w:rFonts w:hint="eastAsia" w:ascii="黑体" w:hAnsi="黑体" w:eastAsia="黑体"/>
          <w:sz w:val="32"/>
          <w:szCs w:val="32"/>
        </w:rPr>
        <w:t>年度</w:t>
      </w:r>
      <w:r>
        <w:rPr>
          <w:rFonts w:hint="eastAsia" w:ascii="黑体" w:hAnsi="黑体" w:eastAsia="黑体"/>
          <w:sz w:val="32"/>
          <w:szCs w:val="32"/>
          <w:lang w:eastAsia="zh-CN"/>
        </w:rPr>
        <w:t>部门</w:t>
      </w:r>
      <w:r>
        <w:rPr>
          <w:rFonts w:hint="eastAsia" w:ascii="黑体" w:hAnsi="黑体" w:eastAsia="黑体"/>
          <w:sz w:val="32"/>
          <w:szCs w:val="32"/>
        </w:rPr>
        <w:t>决算表</w:t>
      </w:r>
    </w:p>
    <w:p>
      <w:pPr>
        <w:keepNext w:val="0"/>
        <w:keepLines w:val="0"/>
        <w:pageBreakBefore w:val="0"/>
        <w:widowControl/>
        <w:kinsoku/>
        <w:wordWrap/>
        <w:overflowPunct/>
        <w:topLinePunct w:val="0"/>
        <w:autoSpaceDE/>
        <w:autoSpaceDN/>
        <w:bidi w:val="0"/>
        <w:adjustRightInd/>
        <w:snapToGrid/>
        <w:spacing w:line="580" w:lineRule="exact"/>
        <w:ind w:left="0" w:firstLine="1280" w:firstLineChars="4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keepNext w:val="0"/>
        <w:keepLines w:val="0"/>
        <w:pageBreakBefore w:val="0"/>
        <w:widowControl/>
        <w:kinsoku/>
        <w:wordWrap/>
        <w:overflowPunct/>
        <w:topLinePunct w:val="0"/>
        <w:autoSpaceDE/>
        <w:autoSpaceDN/>
        <w:bidi w:val="0"/>
        <w:adjustRightInd/>
        <w:snapToGrid/>
        <w:spacing w:line="580" w:lineRule="exact"/>
        <w:ind w:left="0" w:firstLine="1280" w:firstLineChars="4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 xml:space="preserve">    </w:t>
      </w:r>
      <w:r>
        <w:rPr>
          <w:rFonts w:hint="eastAsia" w:ascii="仿宋_GB2312" w:hAnsi="仿宋_GB2312" w:eastAsia="仿宋_GB2312" w:cs="宋体"/>
          <w:kern w:val="0"/>
          <w:sz w:val="32"/>
          <w:szCs w:val="32"/>
        </w:rPr>
        <w:t xml:space="preserve">  三、支出决算表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 xml:space="preserve">    </w:t>
      </w:r>
      <w:r>
        <w:rPr>
          <w:rFonts w:hint="eastAsia" w:ascii="仿宋_GB2312" w:hAnsi="仿宋_GB2312" w:eastAsia="仿宋_GB2312" w:cs="宋体"/>
          <w:kern w:val="0"/>
          <w:sz w:val="32"/>
          <w:szCs w:val="32"/>
        </w:rPr>
        <w:t xml:space="preserve"> 四、财政拨款收入支出决算总表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 xml:space="preserve">    </w:t>
      </w:r>
      <w:r>
        <w:rPr>
          <w:rFonts w:hint="eastAsia" w:ascii="仿宋_GB2312" w:hAnsi="仿宋_GB2312" w:eastAsia="仿宋_GB2312" w:cs="宋体"/>
          <w:kern w:val="0"/>
          <w:sz w:val="32"/>
          <w:szCs w:val="32"/>
        </w:rPr>
        <w:t xml:space="preserve"> 五、一般公共预算财政拨款支出决算表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 xml:space="preserve">    </w:t>
      </w:r>
      <w:r>
        <w:rPr>
          <w:rFonts w:hint="eastAsia" w:ascii="仿宋_GB2312" w:hAnsi="仿宋_GB2312" w:eastAsia="仿宋_GB2312" w:cs="宋体"/>
          <w:kern w:val="0"/>
          <w:sz w:val="32"/>
          <w:szCs w:val="32"/>
        </w:rPr>
        <w:t xml:space="preserve">  六、一般公共预算财政拨款基本支出决算表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spacing w:val="-6"/>
          <w:kern w:val="0"/>
          <w:sz w:val="32"/>
          <w:szCs w:val="32"/>
        </w:rPr>
      </w:pP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 xml:space="preserve">    </w:t>
      </w:r>
      <w:r>
        <w:rPr>
          <w:rFonts w:hint="eastAsia" w:ascii="仿宋_GB2312" w:hAnsi="仿宋_GB2312" w:eastAsia="仿宋_GB2312" w:cs="宋体"/>
          <w:kern w:val="0"/>
          <w:sz w:val="32"/>
          <w:szCs w:val="32"/>
        </w:rPr>
        <w:t xml:space="preserve">  七、</w:t>
      </w:r>
      <w:r>
        <w:rPr>
          <w:rFonts w:hint="eastAsia" w:ascii="仿宋_GB2312" w:hAnsi="仿宋_GB2312" w:eastAsia="仿宋_GB2312" w:cs="宋体"/>
          <w:spacing w:val="-6"/>
          <w:kern w:val="0"/>
          <w:sz w:val="32"/>
          <w:szCs w:val="32"/>
        </w:rPr>
        <w:t>一般公共预算财政拨款“三公”经费支出决算表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280" w:firstLineChars="40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lang w:eastAsia="zh-CN"/>
        </w:rPr>
        <w:t>八、</w:t>
      </w:r>
      <w:r>
        <w:rPr>
          <w:rFonts w:hint="eastAsia" w:ascii="仿宋_GB2312" w:hAnsi="仿宋_GB2312" w:eastAsia="仿宋_GB2312" w:cs="宋体"/>
          <w:kern w:val="0"/>
          <w:sz w:val="32"/>
          <w:szCs w:val="32"/>
        </w:rPr>
        <w:t>政府性基金预算财政拨款收入支出决算表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leftChars="0" w:firstLine="1280" w:firstLineChars="40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lang w:val="en-US" w:eastAsia="zh-CN"/>
        </w:rPr>
        <w:t>九、国有资本经营预算财政拨款支出决算表</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 xml:space="preserve">    </w:t>
      </w: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十</w:t>
      </w:r>
      <w:r>
        <w:rPr>
          <w:rFonts w:hint="eastAsia" w:ascii="仿宋_GB2312" w:hAnsi="仿宋_GB2312" w:eastAsia="仿宋_GB2312" w:cs="宋体"/>
          <w:kern w:val="0"/>
          <w:sz w:val="32"/>
          <w:szCs w:val="32"/>
        </w:rPr>
        <w:t>、国有资产占用情况表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 xml:space="preserve">第三部分  </w:t>
      </w:r>
      <w:r>
        <w:rPr>
          <w:rFonts w:hint="eastAsia" w:ascii="黑体" w:hAnsi="黑体" w:eastAsia="黑体"/>
          <w:sz w:val="32"/>
          <w:szCs w:val="32"/>
          <w:lang w:eastAsia="zh-CN"/>
        </w:rPr>
        <w:t>2021</w:t>
      </w:r>
      <w:r>
        <w:rPr>
          <w:rFonts w:hint="eastAsia" w:ascii="黑体" w:hAnsi="黑体" w:eastAsia="黑体"/>
          <w:sz w:val="32"/>
          <w:szCs w:val="32"/>
        </w:rPr>
        <w:t>年度部门决算情况说明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1280" w:firstLineChars="4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1280" w:firstLineChars="4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1280" w:firstLineChars="4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1280" w:firstLineChars="4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1280" w:firstLineChars="400"/>
        <w:jc w:val="left"/>
        <w:textAlignment w:val="auto"/>
        <w:rPr>
          <w:rFonts w:hint="eastAsia" w:ascii="仿宋_GB2312" w:hAnsi="仿宋_GB2312" w:eastAsia="仿宋_GB2312"/>
          <w:spacing w:val="-11"/>
          <w:sz w:val="32"/>
          <w:szCs w:val="30"/>
        </w:rPr>
      </w:pPr>
      <w:r>
        <w:rPr>
          <w:rFonts w:hint="eastAsia" w:ascii="仿宋_GB2312" w:hAnsi="仿宋_GB2312" w:eastAsia="仿宋_GB2312"/>
          <w:sz w:val="32"/>
          <w:szCs w:val="30"/>
        </w:rPr>
        <w:t>五、</w:t>
      </w:r>
      <w:r>
        <w:rPr>
          <w:rFonts w:hint="eastAsia" w:ascii="仿宋_GB2312" w:hAnsi="仿宋_GB2312" w:eastAsia="仿宋_GB2312"/>
          <w:spacing w:val="-11"/>
          <w:sz w:val="32"/>
          <w:szCs w:val="30"/>
        </w:rPr>
        <w:t>一般公共预算财政拨款“三公”经费支出决算情况说明</w:t>
      </w:r>
    </w:p>
    <w:p>
      <w:pPr>
        <w:keepNext w:val="0"/>
        <w:keepLines w:val="0"/>
        <w:pageBreakBefore w:val="0"/>
        <w:widowControl/>
        <w:kinsoku/>
        <w:wordWrap/>
        <w:overflowPunct/>
        <w:topLinePunct w:val="0"/>
        <w:autoSpaceDE/>
        <w:autoSpaceDN/>
        <w:bidi w:val="0"/>
        <w:adjustRightInd/>
        <w:snapToGrid/>
        <w:spacing w:line="580" w:lineRule="exact"/>
        <w:ind w:left="0" w:firstLine="1280" w:firstLineChars="40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 xml:space="preserve">   </w:t>
      </w:r>
      <w:r>
        <w:rPr>
          <w:rFonts w:hint="eastAsia" w:ascii="仿宋_GB2312" w:hAnsi="仿宋_GB2312" w:eastAsia="仿宋_GB2312"/>
          <w:sz w:val="32"/>
          <w:szCs w:val="30"/>
          <w:lang w:val="en-US" w:eastAsia="zh-CN"/>
        </w:rPr>
        <w:t xml:space="preserve">    </w:t>
      </w:r>
      <w:r>
        <w:rPr>
          <w:rFonts w:hint="eastAsia" w:ascii="仿宋_GB2312" w:hAnsi="仿宋_GB2312" w:eastAsia="仿宋_GB2312"/>
          <w:sz w:val="32"/>
          <w:szCs w:val="30"/>
        </w:rPr>
        <w:t xml:space="preserve"> 七、政府采购支出情况说明</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 xml:space="preserve">   </w:t>
      </w:r>
      <w:r>
        <w:rPr>
          <w:rFonts w:hint="eastAsia" w:ascii="仿宋_GB2312" w:hAnsi="仿宋_GB2312" w:eastAsia="仿宋_GB2312"/>
          <w:sz w:val="32"/>
          <w:szCs w:val="30"/>
          <w:lang w:val="en-US" w:eastAsia="zh-CN"/>
        </w:rPr>
        <w:t xml:space="preserve">    </w:t>
      </w:r>
      <w:r>
        <w:rPr>
          <w:rFonts w:hint="eastAsia" w:ascii="仿宋_GB2312" w:hAnsi="仿宋_GB2312" w:eastAsia="仿宋_GB2312"/>
          <w:sz w:val="32"/>
          <w:szCs w:val="30"/>
        </w:rPr>
        <w:t xml:space="preserve"> 八、国有资产占用情况说明</w:t>
      </w:r>
    </w:p>
    <w:p>
      <w:pPr>
        <w:keepNext w:val="0"/>
        <w:keepLines w:val="0"/>
        <w:pageBreakBefore w:val="0"/>
        <w:widowControl/>
        <w:kinsoku/>
        <w:wordWrap/>
        <w:overflowPunct/>
        <w:topLinePunct w:val="0"/>
        <w:autoSpaceDE/>
        <w:autoSpaceDN/>
        <w:bidi w:val="0"/>
        <w:adjustRightInd/>
        <w:snapToGrid/>
        <w:spacing w:line="580" w:lineRule="exact"/>
        <w:ind w:left="0" w:firstLine="0" w:firstLineChars="0"/>
        <w:jc w:val="left"/>
        <w:textAlignment w:val="auto"/>
        <w:rPr>
          <w:rFonts w:hint="eastAsia" w:ascii="仿宋_GB2312" w:hAnsi="仿宋_GB2312" w:eastAsia="仿宋_GB2312"/>
          <w:sz w:val="32"/>
          <w:szCs w:val="30"/>
        </w:rPr>
      </w:pPr>
      <w:r>
        <w:rPr>
          <w:rFonts w:hint="eastAsia" w:ascii="仿宋_GB2312" w:hAnsi="仿宋_GB2312" w:eastAsia="仿宋_GB2312"/>
          <w:sz w:val="32"/>
          <w:szCs w:val="30"/>
        </w:rPr>
        <w:t xml:space="preserve">   </w:t>
      </w:r>
      <w:r>
        <w:rPr>
          <w:rFonts w:hint="eastAsia" w:ascii="仿宋_GB2312" w:hAnsi="仿宋_GB2312" w:eastAsia="仿宋_GB2312"/>
          <w:sz w:val="32"/>
          <w:szCs w:val="30"/>
          <w:lang w:val="en-US" w:eastAsia="zh-CN"/>
        </w:rPr>
        <w:t xml:space="preserve">    </w:t>
      </w:r>
      <w:r>
        <w:rPr>
          <w:rFonts w:hint="eastAsia" w:ascii="仿宋_GB2312" w:hAnsi="仿宋_GB2312" w:eastAsia="仿宋_GB2312"/>
          <w:sz w:val="32"/>
          <w:szCs w:val="30"/>
        </w:rPr>
        <w:t xml:space="preserve"> 九、预算绩效情况说明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jc w:val="both"/>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p>
    <w:p>
      <w:pPr>
        <w:widowControl/>
        <w:spacing w:line="580" w:lineRule="exact"/>
        <w:jc w:val="center"/>
        <w:rPr>
          <w:rFonts w:hint="eastAsia" w:ascii="宋体" w:hAnsi="宋体"/>
          <w:b/>
          <w:sz w:val="32"/>
          <w:szCs w:val="30"/>
          <w:lang w:eastAsia="zh-CN"/>
        </w:rPr>
      </w:pPr>
    </w:p>
    <w:p>
      <w:pPr>
        <w:widowControl/>
        <w:spacing w:line="580" w:lineRule="exact"/>
        <w:jc w:val="center"/>
        <w:rPr>
          <w:rFonts w:hint="eastAsia" w:ascii="宋体" w:hAnsi="宋体"/>
          <w:b/>
          <w:sz w:val="32"/>
          <w:szCs w:val="30"/>
        </w:rPr>
      </w:pPr>
      <w:r>
        <w:rPr>
          <w:rFonts w:hint="eastAsia" w:ascii="宋体" w:hAnsi="宋体"/>
          <w:b/>
          <w:sz w:val="32"/>
          <w:szCs w:val="30"/>
        </w:rPr>
        <w:t xml:space="preserve">第一部分  </w:t>
      </w:r>
      <w:r>
        <w:rPr>
          <w:rFonts w:hint="eastAsia" w:ascii="宋体" w:hAnsi="宋体"/>
          <w:b/>
          <w:sz w:val="32"/>
          <w:szCs w:val="32"/>
          <w:lang w:eastAsia="zh-CN"/>
        </w:rPr>
        <w:t>共青团兴国县委员会</w:t>
      </w:r>
      <w:r>
        <w:rPr>
          <w:rFonts w:hint="eastAsia" w:ascii="宋体" w:hAnsi="宋体"/>
          <w:b/>
          <w:sz w:val="32"/>
          <w:szCs w:val="30"/>
        </w:rPr>
        <w:t>概况</w:t>
      </w:r>
    </w:p>
    <w:p>
      <w:pPr>
        <w:ind w:firstLine="630"/>
        <w:jc w:val="center"/>
        <w:rPr>
          <w:rFonts w:hint="eastAsia"/>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w:t>
      </w:r>
      <w:r>
        <w:rPr>
          <w:rFonts w:hint="eastAsia" w:ascii="黑体" w:hAnsi="黑体" w:eastAsia="黑体"/>
          <w:sz w:val="30"/>
          <w:szCs w:val="30"/>
          <w:lang w:eastAsia="zh-CN"/>
        </w:rPr>
        <w:t>单位</w:t>
      </w:r>
      <w:r>
        <w:rPr>
          <w:rFonts w:hint="eastAsia" w:ascii="黑体" w:hAnsi="黑体" w:eastAsia="黑体"/>
          <w:sz w:val="30"/>
          <w:szCs w:val="30"/>
        </w:rPr>
        <w:t>主要职能</w:t>
      </w:r>
    </w:p>
    <w:p>
      <w:pPr>
        <w:spacing w:line="600" w:lineRule="exact"/>
        <w:ind w:firstLine="630"/>
        <w:jc w:val="left"/>
        <w:rPr>
          <w:rFonts w:hint="eastAsia" w:ascii="仿宋" w:hAnsi="仿宋" w:eastAsia="仿宋"/>
          <w:sz w:val="32"/>
          <w:szCs w:val="32"/>
        </w:rPr>
      </w:pPr>
      <w:r>
        <w:rPr>
          <w:rFonts w:hint="eastAsia" w:ascii="仿宋" w:hAnsi="仿宋" w:eastAsia="仿宋"/>
          <w:sz w:val="32"/>
          <w:szCs w:val="32"/>
        </w:rPr>
        <w:t>组织团员、青年学习党的路线、方针和政策；学习科学、文化和业务知识，树立与改革开放和社会发展相适应的新观念。维护国家人民利益，代表和维护青年的具体利益，当好党的助手和后备军；围绕党的中心任务，开展适合青年特点的活动，发挥生力军和击队作用，促进和保护青少年的健康成长。</w:t>
      </w:r>
    </w:p>
    <w:p>
      <w:pPr>
        <w:ind w:firstLine="630"/>
        <w:jc w:val="left"/>
        <w:rPr>
          <w:rFonts w:hint="eastAsia" w:ascii="黑体" w:hAnsi="黑体" w:eastAsia="黑体"/>
          <w:sz w:val="30"/>
          <w:szCs w:val="30"/>
        </w:rPr>
      </w:pPr>
      <w:r>
        <w:rPr>
          <w:rFonts w:hint="eastAsia" w:ascii="黑体" w:hAnsi="黑体" w:eastAsia="黑体"/>
          <w:sz w:val="30"/>
          <w:szCs w:val="30"/>
        </w:rPr>
        <w:t>二、</w:t>
      </w:r>
      <w:r>
        <w:rPr>
          <w:rFonts w:hint="eastAsia" w:ascii="黑体" w:hAnsi="黑体" w:eastAsia="黑体"/>
          <w:sz w:val="30"/>
          <w:szCs w:val="30"/>
          <w:lang w:eastAsia="zh-CN"/>
        </w:rPr>
        <w:t>单位</w:t>
      </w:r>
      <w:r>
        <w:rPr>
          <w:rFonts w:hint="eastAsia" w:ascii="黑体" w:hAnsi="黑体" w:eastAsia="黑体"/>
          <w:sz w:val="30"/>
          <w:szCs w:val="30"/>
        </w:rPr>
        <w:t>基本情况</w:t>
      </w:r>
    </w:p>
    <w:p>
      <w:pPr>
        <w:ind w:firstLine="630"/>
        <w:jc w:val="left"/>
        <w:rPr>
          <w:rFonts w:hint="eastAsia" w:ascii="仿宋_GB2312" w:hAnsi="仿宋_GB2312" w:eastAsia="仿宋_GB2312"/>
          <w:color w:val="auto"/>
          <w:sz w:val="32"/>
          <w:szCs w:val="32"/>
          <w:lang w:val="en-US" w:eastAsia="zh-CN"/>
        </w:rPr>
      </w:pPr>
      <w:r>
        <w:rPr>
          <w:rFonts w:hint="eastAsia" w:ascii="仿宋" w:hAnsi="仿宋" w:eastAsia="仿宋"/>
          <w:sz w:val="32"/>
          <w:szCs w:val="32"/>
          <w:lang w:eastAsia="zh-CN"/>
        </w:rPr>
        <w:t>共青团兴国县委员会</w:t>
      </w:r>
      <w:r>
        <w:rPr>
          <w:rFonts w:hint="eastAsia" w:ascii="仿宋_GB2312" w:hAnsi="仿宋_GB2312" w:eastAsia="仿宋_GB2312"/>
          <w:color w:val="auto"/>
          <w:sz w:val="32"/>
          <w:szCs w:val="32"/>
          <w:lang w:val="en-US" w:eastAsia="zh-CN"/>
        </w:rPr>
        <w:t>设立5个内设机构：</w:t>
      </w:r>
      <w:r>
        <w:rPr>
          <w:rFonts w:hint="eastAsia" w:ascii="仿宋_GB2312" w:hAnsi="仿宋_GB2312" w:eastAsia="仿宋_GB2312" w:cs="Times New Roman"/>
          <w:color w:val="auto"/>
          <w:sz w:val="32"/>
          <w:szCs w:val="32"/>
          <w:lang w:val="en-US" w:eastAsia="zh-CN"/>
        </w:rPr>
        <w:t>办公室、组织部、宣传部、学校和少先队权益部、县直属机关团委。</w:t>
      </w:r>
    </w:p>
    <w:p>
      <w:pPr>
        <w:ind w:firstLine="630"/>
        <w:jc w:val="left"/>
        <w:rPr>
          <w:rFonts w:hint="eastAsia" w:ascii="仿宋" w:hAnsi="仿宋" w:eastAsia="仿宋"/>
          <w:sz w:val="32"/>
          <w:szCs w:val="32"/>
        </w:rPr>
      </w:pPr>
      <w:r>
        <w:rPr>
          <w:rFonts w:hint="eastAsia" w:ascii="仿宋" w:hAnsi="仿宋" w:eastAsia="仿宋"/>
          <w:sz w:val="32"/>
          <w:szCs w:val="32"/>
          <w:lang w:eastAsia="zh-CN"/>
        </w:rPr>
        <w:t>共青团兴国县委员会</w:t>
      </w:r>
      <w:r>
        <w:rPr>
          <w:rFonts w:hint="eastAsia" w:ascii="仿宋_GB2312" w:hAnsi="仿宋_GB2312" w:eastAsia="仿宋_GB2312"/>
          <w:color w:val="auto"/>
          <w:sz w:val="32"/>
          <w:szCs w:val="32"/>
        </w:rPr>
        <w:t>202</w:t>
      </w:r>
      <w:r>
        <w:rPr>
          <w:rFonts w:hint="eastAsia" w:ascii="仿宋_GB2312" w:hAnsi="仿宋_GB2312" w:eastAsia="仿宋_GB2312"/>
          <w:color w:val="auto"/>
          <w:sz w:val="32"/>
          <w:szCs w:val="32"/>
          <w:lang w:val="en-US" w:eastAsia="zh-CN"/>
        </w:rPr>
        <w:t>1</w:t>
      </w:r>
      <w:r>
        <w:rPr>
          <w:rFonts w:hint="eastAsia" w:ascii="仿宋_GB2312" w:hAnsi="仿宋_GB2312" w:eastAsia="仿宋_GB2312"/>
          <w:color w:val="auto"/>
          <w:sz w:val="32"/>
          <w:szCs w:val="32"/>
        </w:rPr>
        <w:t>年年末实有人数</w:t>
      </w:r>
      <w:r>
        <w:rPr>
          <w:rFonts w:hint="eastAsia" w:ascii="仿宋_GB2312" w:hAnsi="仿宋_GB2312" w:eastAsia="仿宋_GB2312"/>
          <w:color w:val="auto"/>
          <w:sz w:val="32"/>
          <w:szCs w:val="32"/>
          <w:lang w:val="en-US" w:eastAsia="zh-CN"/>
        </w:rPr>
        <w:t>5</w:t>
      </w:r>
      <w:r>
        <w:rPr>
          <w:rFonts w:hint="eastAsia" w:ascii="仿宋_GB2312" w:hAnsi="仿宋_GB2312" w:eastAsia="仿宋_GB2312"/>
          <w:color w:val="auto"/>
          <w:sz w:val="32"/>
          <w:szCs w:val="32"/>
        </w:rPr>
        <w:t>人，其中在职人员</w:t>
      </w:r>
      <w:r>
        <w:rPr>
          <w:rFonts w:hint="eastAsia" w:ascii="仿宋_GB2312" w:hAnsi="仿宋_GB2312" w:eastAsia="仿宋_GB2312"/>
          <w:color w:val="auto"/>
          <w:sz w:val="32"/>
          <w:szCs w:val="32"/>
          <w:lang w:val="en-US" w:eastAsia="zh-CN"/>
        </w:rPr>
        <w:t>5</w:t>
      </w:r>
      <w:r>
        <w:rPr>
          <w:rFonts w:hint="eastAsia" w:ascii="仿宋_GB2312" w:hAnsi="仿宋_GB2312" w:eastAsia="仿宋_GB2312"/>
          <w:color w:val="auto"/>
          <w:sz w:val="32"/>
          <w:szCs w:val="32"/>
        </w:rPr>
        <w:t>人，离休人员</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人，退休人员</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人</w:t>
      </w:r>
      <w:r>
        <w:rPr>
          <w:rFonts w:hint="eastAsia" w:ascii="仿宋" w:hAnsi="仿宋" w:eastAsia="仿宋"/>
          <w:sz w:val="32"/>
          <w:szCs w:val="32"/>
        </w:rPr>
        <w:t>。</w:t>
      </w:r>
    </w:p>
    <w:p>
      <w:pPr>
        <w:ind w:firstLine="630"/>
        <w:jc w:val="left"/>
        <w:rPr>
          <w:rFonts w:hint="eastAsia" w:ascii="仿宋" w:hAnsi="仿宋" w:eastAsia="仿宋"/>
          <w:sz w:val="30"/>
          <w:szCs w:val="30"/>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 xml:space="preserve">第二部分  </w:t>
      </w:r>
      <w:r>
        <w:rPr>
          <w:rFonts w:hint="eastAsia" w:ascii="宋体" w:hAnsi="宋体"/>
          <w:b/>
          <w:sz w:val="32"/>
          <w:szCs w:val="32"/>
          <w:lang w:eastAsia="zh-CN"/>
        </w:rPr>
        <w:t>2021</w:t>
      </w:r>
      <w:r>
        <w:rPr>
          <w:rFonts w:hint="eastAsia" w:ascii="宋体" w:hAnsi="宋体"/>
          <w:b/>
          <w:sz w:val="32"/>
          <w:szCs w:val="32"/>
        </w:rPr>
        <w:t>年度部门决算表</w:t>
      </w:r>
    </w:p>
    <w:p>
      <w:pPr>
        <w:autoSpaceDE w:val="0"/>
        <w:autoSpaceDN w:val="0"/>
        <w:adjustRightInd w:val="0"/>
        <w:spacing w:line="360" w:lineRule="auto"/>
        <w:jc w:val="left"/>
      </w:pPr>
      <w:r>
        <w:drawing>
          <wp:inline distT="0" distB="0" distL="114300" distR="114300">
            <wp:extent cx="5272405" cy="5330825"/>
            <wp:effectExtent l="0" t="0" r="4445" b="3175"/>
            <wp:docPr id="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1"/>
                    <pic:cNvPicPr>
                      <a:picLocks noChangeAspect="1"/>
                    </pic:cNvPicPr>
                  </pic:nvPicPr>
                  <pic:blipFill>
                    <a:blip r:embed="rId6"/>
                    <a:stretch>
                      <a:fillRect/>
                    </a:stretch>
                  </pic:blipFill>
                  <pic:spPr>
                    <a:xfrm>
                      <a:off x="0" y="0"/>
                      <a:ext cx="5272405" cy="5330825"/>
                    </a:xfrm>
                    <a:prstGeom prst="rect">
                      <a:avLst/>
                    </a:prstGeom>
                    <a:noFill/>
                    <a:ln>
                      <a:noFill/>
                    </a:ln>
                  </pic:spPr>
                </pic:pic>
              </a:graphicData>
            </a:graphic>
          </wp:inline>
        </w:drawing>
      </w:r>
    </w:p>
    <w:p>
      <w:pPr>
        <w:pStyle w:val="3"/>
      </w:pPr>
    </w:p>
    <w:p>
      <w:pPr>
        <w:pStyle w:val="3"/>
        <w:rPr>
          <w:rFonts w:hint="eastAsia"/>
        </w:rPr>
      </w:pPr>
      <w:r>
        <w:drawing>
          <wp:inline distT="0" distB="0" distL="114300" distR="114300">
            <wp:extent cx="5270500" cy="2039620"/>
            <wp:effectExtent l="0" t="0" r="6350" b="17780"/>
            <wp:docPr id="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2"/>
                    <pic:cNvPicPr>
                      <a:picLocks noChangeAspect="1"/>
                    </pic:cNvPicPr>
                  </pic:nvPicPr>
                  <pic:blipFill>
                    <a:blip r:embed="rId7"/>
                    <a:stretch>
                      <a:fillRect/>
                    </a:stretch>
                  </pic:blipFill>
                  <pic:spPr>
                    <a:xfrm>
                      <a:off x="0" y="0"/>
                      <a:ext cx="5270500" cy="2039620"/>
                    </a:xfrm>
                    <a:prstGeom prst="rect">
                      <a:avLst/>
                    </a:prstGeom>
                    <a:noFill/>
                    <a:ln>
                      <a:noFill/>
                    </a:ln>
                  </pic:spPr>
                </pic:pic>
              </a:graphicData>
            </a:graphic>
          </wp:inline>
        </w:drawing>
      </w:r>
      <w:r>
        <w:drawing>
          <wp:inline distT="0" distB="0" distL="114300" distR="114300">
            <wp:extent cx="5269865" cy="2746375"/>
            <wp:effectExtent l="0" t="0" r="6985" b="15875"/>
            <wp:docPr id="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3"/>
                    <pic:cNvPicPr>
                      <a:picLocks noChangeAspect="1"/>
                    </pic:cNvPicPr>
                  </pic:nvPicPr>
                  <pic:blipFill>
                    <a:blip r:embed="rId8"/>
                    <a:stretch>
                      <a:fillRect/>
                    </a:stretch>
                  </pic:blipFill>
                  <pic:spPr>
                    <a:xfrm>
                      <a:off x="0" y="0"/>
                      <a:ext cx="5269865" cy="2746375"/>
                    </a:xfrm>
                    <a:prstGeom prst="rect">
                      <a:avLst/>
                    </a:prstGeom>
                    <a:noFill/>
                    <a:ln>
                      <a:noFill/>
                    </a:ln>
                  </pic:spPr>
                </pic:pic>
              </a:graphicData>
            </a:graphic>
          </wp:inline>
        </w:drawing>
      </w:r>
      <w:r>
        <w:drawing>
          <wp:inline distT="0" distB="0" distL="114300" distR="114300">
            <wp:extent cx="5266690" cy="4390390"/>
            <wp:effectExtent l="0" t="0" r="10160" b="10160"/>
            <wp:docPr id="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4"/>
                    <pic:cNvPicPr>
                      <a:picLocks noChangeAspect="1"/>
                    </pic:cNvPicPr>
                  </pic:nvPicPr>
                  <pic:blipFill>
                    <a:blip r:embed="rId9"/>
                    <a:stretch>
                      <a:fillRect/>
                    </a:stretch>
                  </pic:blipFill>
                  <pic:spPr>
                    <a:xfrm>
                      <a:off x="0" y="0"/>
                      <a:ext cx="5266690" cy="4390390"/>
                    </a:xfrm>
                    <a:prstGeom prst="rect">
                      <a:avLst/>
                    </a:prstGeom>
                    <a:noFill/>
                    <a:ln>
                      <a:noFill/>
                    </a:ln>
                  </pic:spPr>
                </pic:pic>
              </a:graphicData>
            </a:graphic>
          </wp:inline>
        </w:drawing>
      </w:r>
      <w:r>
        <w:drawing>
          <wp:inline distT="0" distB="0" distL="114300" distR="114300">
            <wp:extent cx="5270500" cy="2703195"/>
            <wp:effectExtent l="0" t="0" r="6350" b="1905"/>
            <wp:docPr id="9"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6"/>
                    <pic:cNvPicPr>
                      <a:picLocks noChangeAspect="1"/>
                    </pic:cNvPicPr>
                  </pic:nvPicPr>
                  <pic:blipFill>
                    <a:blip r:embed="rId10"/>
                    <a:stretch>
                      <a:fillRect/>
                    </a:stretch>
                  </pic:blipFill>
                  <pic:spPr>
                    <a:xfrm>
                      <a:off x="0" y="0"/>
                      <a:ext cx="5270500" cy="2703195"/>
                    </a:xfrm>
                    <a:prstGeom prst="rect">
                      <a:avLst/>
                    </a:prstGeom>
                    <a:noFill/>
                    <a:ln>
                      <a:noFill/>
                    </a:ln>
                  </pic:spPr>
                </pic:pic>
              </a:graphicData>
            </a:graphic>
          </wp:inline>
        </w:drawing>
      </w:r>
      <w:r>
        <w:drawing>
          <wp:inline distT="0" distB="0" distL="114300" distR="114300">
            <wp:extent cx="5067300" cy="5859145"/>
            <wp:effectExtent l="0" t="0" r="0" b="8255"/>
            <wp:docPr id="1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7"/>
                    <pic:cNvPicPr>
                      <a:picLocks noChangeAspect="1"/>
                    </pic:cNvPicPr>
                  </pic:nvPicPr>
                  <pic:blipFill>
                    <a:blip r:embed="rId11"/>
                    <a:stretch>
                      <a:fillRect/>
                    </a:stretch>
                  </pic:blipFill>
                  <pic:spPr>
                    <a:xfrm>
                      <a:off x="0" y="0"/>
                      <a:ext cx="5067300" cy="5859145"/>
                    </a:xfrm>
                    <a:prstGeom prst="rect">
                      <a:avLst/>
                    </a:prstGeom>
                    <a:noFill/>
                    <a:ln>
                      <a:noFill/>
                    </a:ln>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pPr>
      <w:r>
        <w:drawing>
          <wp:inline distT="0" distB="0" distL="114300" distR="114300">
            <wp:extent cx="5057140" cy="4143375"/>
            <wp:effectExtent l="0" t="0" r="10160" b="9525"/>
            <wp:docPr id="1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0"/>
                    <pic:cNvPicPr>
                      <a:picLocks noChangeAspect="1"/>
                    </pic:cNvPicPr>
                  </pic:nvPicPr>
                  <pic:blipFill>
                    <a:blip r:embed="rId12"/>
                    <a:stretch>
                      <a:fillRect/>
                    </a:stretch>
                  </pic:blipFill>
                  <pic:spPr>
                    <a:xfrm>
                      <a:off x="0" y="0"/>
                      <a:ext cx="5057140" cy="4143375"/>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r>
        <w:drawing>
          <wp:inline distT="0" distB="0" distL="114300" distR="114300">
            <wp:extent cx="5271770" cy="1944370"/>
            <wp:effectExtent l="0" t="0" r="5080" b="17780"/>
            <wp:docPr id="12"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1"/>
                    <pic:cNvPicPr>
                      <a:picLocks noChangeAspect="1"/>
                    </pic:cNvPicPr>
                  </pic:nvPicPr>
                  <pic:blipFill>
                    <a:blip r:embed="rId13"/>
                    <a:stretch>
                      <a:fillRect/>
                    </a:stretch>
                  </pic:blipFill>
                  <pic:spPr>
                    <a:xfrm>
                      <a:off x="0" y="0"/>
                      <a:ext cx="5271770" cy="1944370"/>
                    </a:xfrm>
                    <a:prstGeom prst="rect">
                      <a:avLst/>
                    </a:prstGeom>
                    <a:noFill/>
                    <a:ln>
                      <a:noFill/>
                    </a:ln>
                  </pic:spPr>
                </pic:pic>
              </a:graphicData>
            </a:graphic>
          </wp:inline>
        </w:drawing>
      </w:r>
      <w:r>
        <w:drawing>
          <wp:inline distT="0" distB="0" distL="114300" distR="114300">
            <wp:extent cx="5086350" cy="3107690"/>
            <wp:effectExtent l="0" t="0" r="0" b="16510"/>
            <wp:docPr id="1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2"/>
                    <pic:cNvPicPr>
                      <a:picLocks noChangeAspect="1"/>
                    </pic:cNvPicPr>
                  </pic:nvPicPr>
                  <pic:blipFill>
                    <a:blip r:embed="rId14"/>
                    <a:stretch>
                      <a:fillRect/>
                    </a:stretch>
                  </pic:blipFill>
                  <pic:spPr>
                    <a:xfrm>
                      <a:off x="0" y="0"/>
                      <a:ext cx="5086350" cy="3107690"/>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r>
        <w:drawing>
          <wp:inline distT="0" distB="0" distL="114300" distR="114300">
            <wp:extent cx="5255895" cy="3413760"/>
            <wp:effectExtent l="0" t="0" r="1905" b="15240"/>
            <wp:docPr id="1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3"/>
                    <pic:cNvPicPr>
                      <a:picLocks noChangeAspect="1"/>
                    </pic:cNvPicPr>
                  </pic:nvPicPr>
                  <pic:blipFill>
                    <a:blip r:embed="rId15"/>
                    <a:stretch>
                      <a:fillRect/>
                    </a:stretch>
                  </pic:blipFill>
                  <pic:spPr>
                    <a:xfrm>
                      <a:off x="0" y="0"/>
                      <a:ext cx="5255895" cy="3413760"/>
                    </a:xfrm>
                    <a:prstGeom prst="rect">
                      <a:avLst/>
                    </a:prstGeom>
                    <a:noFill/>
                    <a:ln>
                      <a:noFill/>
                    </a:ln>
                  </pic:spPr>
                </pic:pic>
              </a:graphicData>
            </a:graphic>
          </wp:inline>
        </w:drawing>
      </w:r>
    </w:p>
    <w:p>
      <w:pPr>
        <w:autoSpaceDE w:val="0"/>
        <w:autoSpaceDN w:val="0"/>
        <w:adjustRightInd w:val="0"/>
        <w:spacing w:line="360" w:lineRule="auto"/>
        <w:jc w:val="left"/>
        <w:rPr>
          <w:rFonts w:hint="eastAsia"/>
        </w:rPr>
      </w:pPr>
    </w:p>
    <w:p>
      <w:pPr>
        <w:autoSpaceDE w:val="0"/>
        <w:autoSpaceDN w:val="0"/>
        <w:adjustRightInd w:val="0"/>
        <w:spacing w:line="360" w:lineRule="auto"/>
        <w:jc w:val="left"/>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 xml:space="preserve">第三部分  </w:t>
      </w:r>
      <w:r>
        <w:rPr>
          <w:rFonts w:hint="eastAsia" w:ascii="宋体" w:hAnsi="宋体"/>
          <w:b/>
          <w:sz w:val="32"/>
          <w:szCs w:val="32"/>
          <w:lang w:eastAsia="zh-CN"/>
        </w:rPr>
        <w:t>2021</w:t>
      </w:r>
      <w:r>
        <w:rPr>
          <w:rFonts w:hint="eastAsia" w:ascii="宋体" w:hAnsi="宋体"/>
          <w:b/>
          <w:sz w:val="32"/>
          <w:szCs w:val="32"/>
        </w:rPr>
        <w:t>年度部门决算情况说明</w:t>
      </w:r>
    </w:p>
    <w:p>
      <w:pPr>
        <w:ind w:firstLine="630"/>
        <w:jc w:val="left"/>
        <w:rPr>
          <w:rFonts w:hint="eastAsia" w:ascii="仿宋" w:hAnsi="仿宋" w:eastAsia="仿宋"/>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w:t>
      </w:r>
      <w:r>
        <w:rPr>
          <w:rFonts w:hint="eastAsia" w:ascii="仿宋" w:hAnsi="仿宋" w:eastAsia="仿宋"/>
          <w:sz w:val="30"/>
          <w:szCs w:val="30"/>
        </w:rPr>
        <w:t>年度收入总计</w:t>
      </w:r>
      <w:r>
        <w:rPr>
          <w:rFonts w:hint="eastAsia" w:ascii="仿宋" w:hAnsi="仿宋" w:eastAsia="仿宋"/>
          <w:sz w:val="30"/>
          <w:szCs w:val="30"/>
          <w:lang w:val="en-US" w:eastAsia="zh-CN"/>
        </w:rPr>
        <w:t>247.70万元，较2020年增加164.71万元，</w:t>
      </w:r>
      <w:r>
        <w:rPr>
          <w:rFonts w:hint="eastAsia" w:ascii="仿宋" w:hAnsi="仿宋" w:eastAsia="仿宋"/>
          <w:sz w:val="30"/>
          <w:szCs w:val="30"/>
          <w:lang w:eastAsia="zh-CN"/>
        </w:rPr>
        <w:t>增长</w:t>
      </w:r>
      <w:r>
        <w:rPr>
          <w:rFonts w:hint="eastAsia" w:ascii="仿宋" w:hAnsi="仿宋" w:eastAsia="仿宋"/>
          <w:sz w:val="30"/>
          <w:szCs w:val="30"/>
          <w:lang w:val="en-US" w:eastAsia="zh-CN"/>
        </w:rPr>
        <w:t>198.47%，其中</w:t>
      </w:r>
      <w:r>
        <w:rPr>
          <w:rFonts w:hint="eastAsia" w:ascii="仿宋" w:hAnsi="仿宋" w:eastAsia="仿宋"/>
          <w:sz w:val="30"/>
          <w:szCs w:val="30"/>
        </w:rPr>
        <w:t>年初结转和结余</w:t>
      </w:r>
      <w:r>
        <w:rPr>
          <w:rFonts w:hint="eastAsia" w:ascii="仿宋" w:hAnsi="仿宋" w:eastAsia="仿宋"/>
          <w:sz w:val="30"/>
          <w:szCs w:val="30"/>
          <w:lang w:val="en-US" w:eastAsia="zh-CN"/>
        </w:rPr>
        <w:t>35.39万元，</w:t>
      </w:r>
      <w:r>
        <w:rPr>
          <w:rFonts w:hint="eastAsia" w:ascii="仿宋" w:hAnsi="仿宋" w:eastAsia="仿宋"/>
          <w:sz w:val="30"/>
          <w:szCs w:val="30"/>
        </w:rPr>
        <w:t>较</w:t>
      </w:r>
      <w:r>
        <w:rPr>
          <w:rFonts w:hint="eastAsia" w:ascii="仿宋" w:hAnsi="仿宋" w:eastAsia="仿宋"/>
          <w:sz w:val="30"/>
          <w:szCs w:val="30"/>
          <w:lang w:eastAsia="zh-CN"/>
        </w:rPr>
        <w:t>2020</w:t>
      </w:r>
      <w:r>
        <w:rPr>
          <w:rFonts w:hint="eastAsia" w:ascii="仿宋" w:hAnsi="仿宋" w:eastAsia="仿宋"/>
          <w:sz w:val="30"/>
          <w:szCs w:val="30"/>
        </w:rPr>
        <w:t>年</w:t>
      </w:r>
      <w:r>
        <w:rPr>
          <w:rFonts w:hint="eastAsia" w:ascii="仿宋" w:hAnsi="仿宋" w:eastAsia="仿宋"/>
          <w:sz w:val="30"/>
          <w:szCs w:val="30"/>
          <w:lang w:eastAsia="zh-CN"/>
        </w:rPr>
        <w:t>增加</w:t>
      </w:r>
      <w:r>
        <w:rPr>
          <w:rFonts w:hint="eastAsia" w:ascii="仿宋" w:hAnsi="仿宋" w:eastAsia="仿宋"/>
          <w:sz w:val="30"/>
          <w:szCs w:val="30"/>
          <w:lang w:val="en-US" w:eastAsia="zh-CN"/>
        </w:rPr>
        <w:t>20.90</w:t>
      </w:r>
      <w:r>
        <w:rPr>
          <w:rFonts w:hint="eastAsia" w:ascii="仿宋" w:hAnsi="仿宋" w:eastAsia="仿宋"/>
          <w:sz w:val="30"/>
          <w:szCs w:val="30"/>
        </w:rPr>
        <w:t>万元</w:t>
      </w:r>
      <w:r>
        <w:rPr>
          <w:rFonts w:hint="eastAsia" w:ascii="仿宋" w:hAnsi="仿宋" w:eastAsia="仿宋"/>
          <w:sz w:val="30"/>
          <w:szCs w:val="30"/>
          <w:lang w:eastAsia="zh-CN"/>
        </w:rPr>
        <w:t>，增长</w:t>
      </w:r>
      <w:r>
        <w:rPr>
          <w:rFonts w:hint="eastAsia" w:ascii="仿宋" w:hAnsi="仿宋" w:eastAsia="仿宋"/>
          <w:sz w:val="30"/>
          <w:szCs w:val="30"/>
          <w:lang w:val="en-US" w:eastAsia="zh-CN"/>
        </w:rPr>
        <w:t>144.24</w:t>
      </w:r>
      <w:r>
        <w:rPr>
          <w:rFonts w:hint="eastAsia" w:ascii="仿宋" w:hAnsi="仿宋" w:eastAsia="仿宋"/>
          <w:sz w:val="30"/>
          <w:szCs w:val="30"/>
        </w:rPr>
        <w:t>%；本年收入合计</w:t>
      </w:r>
      <w:r>
        <w:rPr>
          <w:rFonts w:hint="eastAsia" w:ascii="仿宋" w:hAnsi="仿宋" w:eastAsia="仿宋"/>
          <w:sz w:val="30"/>
          <w:szCs w:val="30"/>
          <w:lang w:val="en-US" w:eastAsia="zh-CN"/>
        </w:rPr>
        <w:t>212.30万元，较2020年增加143.8万元，增长209.93%，主要原因是单位其它收入增加</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本年收入的具体构成为：财政拨款收入</w:t>
      </w:r>
      <w:r>
        <w:rPr>
          <w:rFonts w:hint="eastAsia" w:ascii="仿宋" w:hAnsi="仿宋" w:eastAsia="仿宋"/>
          <w:sz w:val="30"/>
          <w:szCs w:val="30"/>
          <w:lang w:val="en-US" w:eastAsia="zh-CN"/>
        </w:rPr>
        <w:t>82.25</w:t>
      </w:r>
      <w:r>
        <w:rPr>
          <w:rFonts w:hint="eastAsia" w:ascii="仿宋" w:hAnsi="仿宋" w:eastAsia="仿宋"/>
          <w:sz w:val="30"/>
          <w:szCs w:val="30"/>
        </w:rPr>
        <w:t>万元，占</w:t>
      </w:r>
      <w:r>
        <w:rPr>
          <w:rFonts w:hint="eastAsia" w:ascii="仿宋" w:hAnsi="仿宋" w:eastAsia="仿宋"/>
          <w:sz w:val="30"/>
          <w:szCs w:val="30"/>
          <w:lang w:val="en-US" w:eastAsia="zh-CN"/>
        </w:rPr>
        <w:t>38.74</w:t>
      </w:r>
      <w:r>
        <w:rPr>
          <w:rFonts w:hint="eastAsia" w:ascii="仿宋" w:hAnsi="仿宋" w:eastAsia="仿宋"/>
          <w:sz w:val="30"/>
          <w:szCs w:val="30"/>
        </w:rPr>
        <w:t>%</w:t>
      </w:r>
      <w:r>
        <w:rPr>
          <w:rFonts w:hint="eastAsia" w:ascii="仿宋" w:hAnsi="仿宋" w:eastAsia="仿宋"/>
          <w:sz w:val="30"/>
          <w:szCs w:val="30"/>
          <w:lang w:eastAsia="zh-CN"/>
        </w:rPr>
        <w:t>，其它收入</w:t>
      </w:r>
      <w:r>
        <w:rPr>
          <w:rFonts w:hint="eastAsia" w:ascii="仿宋" w:hAnsi="仿宋" w:eastAsia="仿宋"/>
          <w:sz w:val="30"/>
          <w:szCs w:val="30"/>
          <w:lang w:val="en-US" w:eastAsia="zh-CN"/>
        </w:rPr>
        <w:t>130.05万元，占61.26</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w:t>
      </w:r>
      <w:r>
        <w:rPr>
          <w:rFonts w:hint="eastAsia" w:ascii="仿宋" w:hAnsi="仿宋" w:eastAsia="仿宋"/>
          <w:sz w:val="30"/>
          <w:szCs w:val="30"/>
        </w:rPr>
        <w:t>年度支出总计</w:t>
      </w:r>
      <w:r>
        <w:rPr>
          <w:rFonts w:hint="eastAsia" w:ascii="仿宋" w:hAnsi="仿宋" w:eastAsia="仿宋"/>
          <w:sz w:val="30"/>
          <w:szCs w:val="30"/>
          <w:lang w:val="en-US" w:eastAsia="zh-CN"/>
        </w:rPr>
        <w:t>247.70</w:t>
      </w:r>
      <w:r>
        <w:rPr>
          <w:rFonts w:hint="eastAsia" w:ascii="仿宋" w:hAnsi="仿宋" w:eastAsia="仿宋"/>
          <w:sz w:val="30"/>
          <w:szCs w:val="30"/>
        </w:rPr>
        <w:t xml:space="preserve">万元，其中本年支出合计   </w:t>
      </w:r>
      <w:r>
        <w:rPr>
          <w:rFonts w:hint="eastAsia" w:ascii="仿宋" w:hAnsi="仿宋" w:eastAsia="仿宋"/>
          <w:sz w:val="30"/>
          <w:szCs w:val="30"/>
          <w:lang w:val="en-US" w:eastAsia="zh-CN"/>
        </w:rPr>
        <w:t>247.70万元，较2020年增加181.05万元</w:t>
      </w:r>
      <w:r>
        <w:rPr>
          <w:rFonts w:hint="eastAsia" w:ascii="仿宋" w:hAnsi="仿宋" w:eastAsia="仿宋"/>
          <w:sz w:val="30"/>
          <w:szCs w:val="30"/>
        </w:rPr>
        <w:t>，</w:t>
      </w:r>
      <w:r>
        <w:rPr>
          <w:rFonts w:hint="eastAsia" w:ascii="仿宋" w:hAnsi="仿宋" w:eastAsia="仿宋"/>
          <w:sz w:val="30"/>
          <w:szCs w:val="30"/>
          <w:lang w:eastAsia="zh-CN"/>
        </w:rPr>
        <w:t>增长</w:t>
      </w:r>
      <w:r>
        <w:rPr>
          <w:rFonts w:hint="eastAsia" w:ascii="仿宋" w:hAnsi="仿宋" w:eastAsia="仿宋"/>
          <w:sz w:val="30"/>
          <w:szCs w:val="30"/>
          <w:lang w:val="en-US" w:eastAsia="zh-CN"/>
        </w:rPr>
        <w:t>271.62%，</w:t>
      </w:r>
      <w:r>
        <w:rPr>
          <w:rFonts w:hint="eastAsia" w:ascii="仿宋" w:hAnsi="仿宋" w:eastAsia="仿宋"/>
          <w:sz w:val="30"/>
          <w:szCs w:val="30"/>
        </w:rPr>
        <w:t>年末结转和结余</w:t>
      </w:r>
      <w:r>
        <w:rPr>
          <w:rFonts w:hint="eastAsia" w:ascii="仿宋" w:hAnsi="仿宋" w:eastAsia="仿宋"/>
          <w:sz w:val="30"/>
          <w:szCs w:val="30"/>
          <w:lang w:val="en-US" w:eastAsia="zh-CN"/>
        </w:rPr>
        <w:t>0万元，较2020年减少35.39万元，减少100%，主要原因是单位其它支出增加</w:t>
      </w:r>
      <w:r>
        <w:rPr>
          <w:rFonts w:hint="eastAsia" w:ascii="仿宋" w:hAnsi="仿宋" w:eastAsia="仿宋"/>
          <w:sz w:val="30"/>
          <w:szCs w:val="30"/>
        </w:rPr>
        <w:t>。</w:t>
      </w:r>
    </w:p>
    <w:p>
      <w:pPr>
        <w:ind w:firstLine="630"/>
        <w:jc w:val="left"/>
        <w:rPr>
          <w:rFonts w:hint="eastAsia" w:ascii="仿宋" w:hAnsi="仿宋" w:eastAsia="仿宋"/>
          <w:sz w:val="30"/>
          <w:szCs w:val="30"/>
          <w:lang w:eastAsia="zh-CN"/>
        </w:rPr>
      </w:pPr>
      <w:r>
        <w:rPr>
          <w:rFonts w:hint="eastAsia" w:ascii="仿宋" w:hAnsi="仿宋" w:eastAsia="仿宋"/>
          <w:sz w:val="30"/>
          <w:szCs w:val="30"/>
        </w:rPr>
        <w:t>本年支出的具体构成为：基本支出</w:t>
      </w:r>
      <w:r>
        <w:rPr>
          <w:rFonts w:hint="eastAsia" w:ascii="仿宋" w:hAnsi="仿宋" w:eastAsia="仿宋"/>
          <w:sz w:val="30"/>
          <w:szCs w:val="30"/>
          <w:lang w:val="en-US" w:eastAsia="zh-CN"/>
        </w:rPr>
        <w:t>63.44</w:t>
      </w:r>
      <w:r>
        <w:rPr>
          <w:rFonts w:hint="eastAsia" w:ascii="仿宋" w:hAnsi="仿宋" w:eastAsia="仿宋"/>
          <w:sz w:val="30"/>
          <w:szCs w:val="30"/>
        </w:rPr>
        <w:t>万元，占</w:t>
      </w:r>
      <w:r>
        <w:rPr>
          <w:rFonts w:hint="eastAsia" w:ascii="仿宋" w:hAnsi="仿宋" w:eastAsia="仿宋"/>
          <w:sz w:val="30"/>
          <w:szCs w:val="30"/>
          <w:lang w:val="en-US" w:eastAsia="zh-CN"/>
        </w:rPr>
        <w:t>25.61</w:t>
      </w:r>
      <w:r>
        <w:rPr>
          <w:rFonts w:hint="eastAsia" w:ascii="仿宋" w:hAnsi="仿宋" w:eastAsia="仿宋"/>
          <w:sz w:val="30"/>
          <w:szCs w:val="30"/>
        </w:rPr>
        <w:t>%；项目支出</w:t>
      </w:r>
      <w:r>
        <w:rPr>
          <w:rFonts w:hint="eastAsia" w:ascii="仿宋" w:hAnsi="仿宋" w:eastAsia="仿宋"/>
          <w:sz w:val="30"/>
          <w:szCs w:val="30"/>
          <w:lang w:val="en-US" w:eastAsia="zh-CN"/>
        </w:rPr>
        <w:t>184.26</w:t>
      </w:r>
      <w:r>
        <w:rPr>
          <w:rFonts w:hint="eastAsia" w:ascii="仿宋" w:hAnsi="仿宋" w:eastAsia="仿宋"/>
          <w:sz w:val="30"/>
          <w:szCs w:val="30"/>
        </w:rPr>
        <w:t>万元，占</w:t>
      </w:r>
      <w:r>
        <w:rPr>
          <w:rFonts w:hint="eastAsia" w:ascii="仿宋" w:hAnsi="仿宋" w:eastAsia="仿宋"/>
          <w:sz w:val="30"/>
          <w:szCs w:val="30"/>
          <w:lang w:val="en-US" w:eastAsia="zh-CN"/>
        </w:rPr>
        <w:t>74.39</w:t>
      </w:r>
      <w:r>
        <w:rPr>
          <w:rFonts w:hint="eastAsia" w:ascii="仿宋" w:hAnsi="仿宋" w:eastAsia="仿宋"/>
          <w:sz w:val="30"/>
          <w:szCs w:val="30"/>
        </w:rPr>
        <w:t>%</w:t>
      </w:r>
      <w:r>
        <w:rPr>
          <w:rFonts w:hint="eastAsia" w:ascii="仿宋" w:hAnsi="仿宋" w:eastAsia="仿宋"/>
          <w:sz w:val="30"/>
          <w:szCs w:val="30"/>
          <w:lang w:eastAsia="zh-CN"/>
        </w:rPr>
        <w:t>。</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w:t>
      </w:r>
      <w:r>
        <w:rPr>
          <w:rFonts w:hint="eastAsia" w:ascii="仿宋" w:hAnsi="仿宋" w:eastAsia="仿宋"/>
          <w:sz w:val="30"/>
          <w:szCs w:val="30"/>
        </w:rPr>
        <w:t>年度财政拨款本年支出年初预算数为</w:t>
      </w:r>
      <w:r>
        <w:rPr>
          <w:rFonts w:hint="eastAsia" w:ascii="仿宋" w:hAnsi="仿宋" w:eastAsia="仿宋"/>
          <w:sz w:val="30"/>
          <w:szCs w:val="30"/>
          <w:lang w:val="en-US" w:eastAsia="zh-CN"/>
        </w:rPr>
        <w:t>116.14</w:t>
      </w:r>
      <w:r>
        <w:rPr>
          <w:rFonts w:hint="eastAsia" w:ascii="仿宋" w:hAnsi="仿宋" w:eastAsia="仿宋"/>
          <w:sz w:val="30"/>
          <w:szCs w:val="30"/>
        </w:rPr>
        <w:t>万元，决算数为</w:t>
      </w:r>
      <w:r>
        <w:rPr>
          <w:rFonts w:hint="eastAsia" w:ascii="仿宋" w:hAnsi="仿宋" w:eastAsia="仿宋"/>
          <w:sz w:val="30"/>
          <w:szCs w:val="30"/>
          <w:lang w:val="en-US" w:eastAsia="zh-CN"/>
        </w:rPr>
        <w:t>116.14</w:t>
      </w:r>
      <w:r>
        <w:rPr>
          <w:rFonts w:hint="eastAsia" w:ascii="仿宋" w:hAnsi="仿宋" w:eastAsia="仿宋"/>
          <w:sz w:val="30"/>
          <w:szCs w:val="30"/>
        </w:rPr>
        <w:t>万元，完成年初预算的</w:t>
      </w:r>
      <w:r>
        <w:rPr>
          <w:rFonts w:hint="eastAsia" w:ascii="仿宋" w:hAnsi="仿宋" w:eastAsia="仿宋"/>
          <w:sz w:val="30"/>
          <w:szCs w:val="30"/>
          <w:lang w:val="en-US" w:eastAsia="zh-CN"/>
        </w:rPr>
        <w:t>100</w:t>
      </w:r>
      <w:r>
        <w:rPr>
          <w:rFonts w:hint="eastAsia" w:ascii="仿宋" w:hAnsi="仿宋" w:eastAsia="仿宋"/>
          <w:sz w:val="30"/>
          <w:szCs w:val="30"/>
        </w:rPr>
        <w:t>%。其中：</w:t>
      </w:r>
    </w:p>
    <w:p>
      <w:pPr>
        <w:ind w:firstLine="630"/>
        <w:jc w:val="left"/>
        <w:rPr>
          <w:rFonts w:hint="eastAsia" w:ascii="仿宋" w:hAnsi="仿宋" w:eastAsia="仿宋"/>
          <w:sz w:val="30"/>
          <w:szCs w:val="30"/>
        </w:rPr>
      </w:pPr>
      <w:r>
        <w:rPr>
          <w:rFonts w:hint="eastAsia" w:ascii="仿宋" w:hAnsi="仿宋" w:eastAsia="仿宋"/>
          <w:sz w:val="30"/>
          <w:szCs w:val="30"/>
        </w:rPr>
        <w:t>（一）一般公共服务支出年初预算数为</w:t>
      </w:r>
      <w:r>
        <w:rPr>
          <w:rFonts w:hint="eastAsia" w:ascii="仿宋" w:hAnsi="仿宋" w:eastAsia="仿宋"/>
          <w:sz w:val="30"/>
          <w:szCs w:val="30"/>
          <w:lang w:val="en-US" w:eastAsia="zh-CN"/>
        </w:rPr>
        <w:t>108.98</w:t>
      </w:r>
      <w:r>
        <w:rPr>
          <w:rFonts w:hint="eastAsia" w:ascii="仿宋" w:hAnsi="仿宋" w:eastAsia="仿宋"/>
          <w:sz w:val="30"/>
          <w:szCs w:val="30"/>
        </w:rPr>
        <w:t>万元，决算数为</w:t>
      </w:r>
      <w:r>
        <w:rPr>
          <w:rFonts w:hint="eastAsia" w:ascii="仿宋" w:hAnsi="仿宋" w:eastAsia="仿宋"/>
          <w:sz w:val="30"/>
          <w:szCs w:val="30"/>
          <w:lang w:val="en-US" w:eastAsia="zh-CN"/>
        </w:rPr>
        <w:t>108.98</w:t>
      </w:r>
      <w:r>
        <w:rPr>
          <w:rFonts w:hint="eastAsia" w:ascii="仿宋" w:hAnsi="仿宋" w:eastAsia="仿宋"/>
          <w:sz w:val="30"/>
          <w:szCs w:val="30"/>
        </w:rPr>
        <w:t>万元，完成年初预算的</w:t>
      </w:r>
      <w:r>
        <w:rPr>
          <w:rFonts w:hint="eastAsia" w:ascii="仿宋" w:hAnsi="仿宋" w:eastAsia="仿宋"/>
          <w:sz w:val="30"/>
          <w:szCs w:val="30"/>
          <w:lang w:val="en-US" w:eastAsia="zh-CN"/>
        </w:rPr>
        <w:t>100</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（二）社会保障和就业支出年初预算数为</w:t>
      </w:r>
      <w:r>
        <w:rPr>
          <w:rFonts w:hint="eastAsia" w:ascii="仿宋" w:hAnsi="仿宋" w:eastAsia="仿宋"/>
          <w:sz w:val="30"/>
          <w:szCs w:val="30"/>
          <w:lang w:val="en-US" w:eastAsia="zh-CN"/>
        </w:rPr>
        <w:t>4.51</w:t>
      </w:r>
      <w:r>
        <w:rPr>
          <w:rFonts w:hint="eastAsia" w:ascii="仿宋" w:hAnsi="仿宋" w:eastAsia="仿宋"/>
          <w:sz w:val="30"/>
          <w:szCs w:val="30"/>
        </w:rPr>
        <w:t>万元，决算数为</w:t>
      </w:r>
      <w:r>
        <w:rPr>
          <w:rFonts w:hint="eastAsia" w:ascii="仿宋" w:hAnsi="仿宋" w:eastAsia="仿宋"/>
          <w:sz w:val="30"/>
          <w:szCs w:val="30"/>
          <w:lang w:val="en-US" w:eastAsia="zh-CN"/>
        </w:rPr>
        <w:t>4.51</w:t>
      </w:r>
      <w:r>
        <w:rPr>
          <w:rFonts w:hint="eastAsia" w:ascii="仿宋" w:hAnsi="仿宋" w:eastAsia="仿宋"/>
          <w:sz w:val="30"/>
          <w:szCs w:val="30"/>
        </w:rPr>
        <w:t>万元，完成年初预算的100%。</w:t>
      </w:r>
    </w:p>
    <w:p>
      <w:pPr>
        <w:ind w:firstLine="630"/>
        <w:jc w:val="left"/>
        <w:rPr>
          <w:rFonts w:hint="eastAsia" w:ascii="仿宋" w:hAnsi="仿宋" w:eastAsia="仿宋"/>
          <w:sz w:val="30"/>
          <w:szCs w:val="30"/>
        </w:rPr>
      </w:pPr>
      <w:r>
        <w:rPr>
          <w:rFonts w:hint="eastAsia" w:ascii="仿宋" w:hAnsi="仿宋" w:eastAsia="仿宋"/>
          <w:sz w:val="30"/>
          <w:szCs w:val="30"/>
        </w:rPr>
        <w:t>（三）医疗卫生与计划生育支出年初预算数为</w:t>
      </w:r>
      <w:r>
        <w:rPr>
          <w:rFonts w:hint="eastAsia" w:ascii="仿宋" w:hAnsi="仿宋" w:eastAsia="仿宋"/>
          <w:sz w:val="30"/>
          <w:szCs w:val="30"/>
          <w:lang w:val="en-US" w:eastAsia="zh-CN"/>
        </w:rPr>
        <w:t>2.64</w:t>
      </w:r>
      <w:r>
        <w:rPr>
          <w:rFonts w:hint="eastAsia" w:ascii="仿宋" w:hAnsi="仿宋" w:eastAsia="仿宋"/>
          <w:sz w:val="30"/>
          <w:szCs w:val="30"/>
        </w:rPr>
        <w:t>万元，决算数为</w:t>
      </w:r>
      <w:r>
        <w:rPr>
          <w:rFonts w:hint="eastAsia" w:ascii="仿宋" w:hAnsi="仿宋" w:eastAsia="仿宋"/>
          <w:sz w:val="30"/>
          <w:szCs w:val="30"/>
          <w:lang w:val="en-US" w:eastAsia="zh-CN"/>
        </w:rPr>
        <w:t>2.64</w:t>
      </w:r>
      <w:r>
        <w:rPr>
          <w:rFonts w:hint="eastAsia" w:ascii="仿宋" w:hAnsi="仿宋" w:eastAsia="仿宋"/>
          <w:sz w:val="30"/>
          <w:szCs w:val="30"/>
        </w:rPr>
        <w:t>万元，完成年初预算的100%。</w:t>
      </w: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w:t>
      </w:r>
      <w:r>
        <w:rPr>
          <w:rFonts w:hint="eastAsia" w:ascii="仿宋" w:hAnsi="仿宋" w:eastAsia="仿宋"/>
          <w:sz w:val="30"/>
          <w:szCs w:val="30"/>
        </w:rPr>
        <w:t>年度一般公共预算财政拨款基本支出</w:t>
      </w:r>
      <w:r>
        <w:rPr>
          <w:rFonts w:hint="eastAsia" w:ascii="仿宋" w:hAnsi="仿宋" w:eastAsia="仿宋"/>
          <w:sz w:val="30"/>
          <w:szCs w:val="30"/>
          <w:lang w:val="en-US" w:eastAsia="zh-CN"/>
        </w:rPr>
        <w:t>49.43</w:t>
      </w:r>
      <w:r>
        <w:rPr>
          <w:rFonts w:hint="eastAsia" w:ascii="仿宋" w:hAnsi="仿宋" w:eastAsia="仿宋"/>
          <w:sz w:val="30"/>
          <w:szCs w:val="30"/>
        </w:rPr>
        <w:t>万元，其中：</w:t>
      </w:r>
    </w:p>
    <w:p>
      <w:pPr>
        <w:ind w:firstLine="585"/>
        <w:jc w:val="left"/>
        <w:rPr>
          <w:rFonts w:hint="eastAsia" w:ascii="仿宋" w:hAnsi="仿宋" w:eastAsia="仿宋"/>
          <w:sz w:val="30"/>
          <w:szCs w:val="30"/>
        </w:rPr>
      </w:pPr>
      <w:r>
        <w:rPr>
          <w:rFonts w:hint="eastAsia" w:ascii="仿宋" w:hAnsi="仿宋" w:eastAsia="仿宋"/>
          <w:sz w:val="30"/>
          <w:szCs w:val="30"/>
        </w:rPr>
        <w:t>（一）工资福利支出</w:t>
      </w:r>
      <w:r>
        <w:rPr>
          <w:rFonts w:hint="eastAsia" w:ascii="仿宋" w:hAnsi="仿宋" w:eastAsia="仿宋"/>
          <w:sz w:val="30"/>
          <w:szCs w:val="30"/>
          <w:lang w:val="en-US" w:eastAsia="zh-CN"/>
        </w:rPr>
        <w:t>45.49万元</w:t>
      </w:r>
      <w:r>
        <w:rPr>
          <w:rFonts w:hint="eastAsia" w:ascii="仿宋" w:hAnsi="仿宋" w:eastAsia="仿宋"/>
          <w:sz w:val="30"/>
          <w:szCs w:val="30"/>
        </w:rPr>
        <w:t>，较</w:t>
      </w:r>
      <w:r>
        <w:rPr>
          <w:rFonts w:hint="eastAsia" w:ascii="仿宋" w:hAnsi="仿宋" w:eastAsia="仿宋"/>
          <w:sz w:val="30"/>
          <w:szCs w:val="30"/>
          <w:lang w:eastAsia="zh-CN"/>
        </w:rPr>
        <w:t>2020</w:t>
      </w:r>
      <w:r>
        <w:rPr>
          <w:rFonts w:hint="eastAsia" w:ascii="仿宋" w:hAnsi="仿宋" w:eastAsia="仿宋"/>
          <w:sz w:val="30"/>
          <w:szCs w:val="30"/>
        </w:rPr>
        <w:t>年</w:t>
      </w:r>
      <w:r>
        <w:rPr>
          <w:rFonts w:hint="eastAsia" w:ascii="仿宋" w:hAnsi="仿宋" w:eastAsia="仿宋"/>
          <w:sz w:val="30"/>
          <w:szCs w:val="30"/>
          <w:lang w:eastAsia="zh-CN"/>
        </w:rPr>
        <w:t>增加</w:t>
      </w:r>
      <w:r>
        <w:rPr>
          <w:rFonts w:hint="eastAsia" w:ascii="仿宋" w:hAnsi="仿宋" w:eastAsia="仿宋"/>
          <w:sz w:val="30"/>
          <w:szCs w:val="30"/>
          <w:lang w:val="en-US" w:eastAsia="zh-CN"/>
        </w:rPr>
        <w:t>20.81</w:t>
      </w:r>
      <w:r>
        <w:rPr>
          <w:rFonts w:hint="eastAsia" w:ascii="仿宋" w:hAnsi="仿宋" w:eastAsia="仿宋"/>
          <w:sz w:val="30"/>
          <w:szCs w:val="30"/>
        </w:rPr>
        <w:t>万元，</w:t>
      </w:r>
      <w:r>
        <w:rPr>
          <w:rFonts w:hint="eastAsia" w:ascii="仿宋" w:hAnsi="仿宋" w:eastAsia="仿宋"/>
          <w:sz w:val="30"/>
          <w:szCs w:val="30"/>
          <w:lang w:eastAsia="zh-CN"/>
        </w:rPr>
        <w:t>增长</w:t>
      </w:r>
      <w:r>
        <w:rPr>
          <w:rFonts w:hint="eastAsia" w:ascii="仿宋" w:hAnsi="仿宋" w:eastAsia="仿宋"/>
          <w:sz w:val="30"/>
          <w:szCs w:val="30"/>
          <w:lang w:val="en-US" w:eastAsia="zh-CN"/>
        </w:rPr>
        <w:t>84.32</w:t>
      </w:r>
      <w:r>
        <w:rPr>
          <w:rFonts w:hint="eastAsia" w:ascii="仿宋" w:hAnsi="仿宋" w:eastAsia="仿宋"/>
          <w:sz w:val="30"/>
          <w:szCs w:val="30"/>
        </w:rPr>
        <w:t>%</w:t>
      </w:r>
      <w:r>
        <w:rPr>
          <w:rFonts w:hint="eastAsia" w:ascii="仿宋" w:hAnsi="仿宋" w:eastAsia="仿宋"/>
          <w:sz w:val="30"/>
          <w:szCs w:val="30"/>
          <w:lang w:eastAsia="zh-CN"/>
        </w:rPr>
        <w:t>，主要原因是：单位人员增加</w:t>
      </w:r>
      <w:r>
        <w:rPr>
          <w:rFonts w:hint="eastAsia" w:ascii="仿宋" w:hAnsi="仿宋" w:eastAsia="仿宋"/>
          <w:sz w:val="30"/>
          <w:szCs w:val="30"/>
        </w:rPr>
        <w:t>。</w:t>
      </w:r>
    </w:p>
    <w:p>
      <w:pPr>
        <w:ind w:firstLine="585"/>
        <w:jc w:val="left"/>
        <w:rPr>
          <w:rFonts w:hint="eastAsia" w:ascii="仿宋" w:hAnsi="仿宋" w:eastAsia="仿宋"/>
          <w:sz w:val="30"/>
          <w:szCs w:val="30"/>
        </w:rPr>
      </w:pPr>
      <w:r>
        <w:rPr>
          <w:rFonts w:hint="eastAsia" w:ascii="仿宋" w:hAnsi="仿宋" w:eastAsia="仿宋"/>
          <w:sz w:val="30"/>
          <w:szCs w:val="30"/>
        </w:rPr>
        <w:t>（二）商品和服务支出</w:t>
      </w:r>
      <w:r>
        <w:rPr>
          <w:rFonts w:hint="eastAsia" w:ascii="仿宋" w:hAnsi="仿宋" w:eastAsia="仿宋"/>
          <w:sz w:val="30"/>
          <w:szCs w:val="30"/>
          <w:lang w:val="en-US" w:eastAsia="zh-CN"/>
        </w:rPr>
        <w:t>3.94万元</w:t>
      </w:r>
      <w:r>
        <w:rPr>
          <w:rFonts w:hint="eastAsia" w:ascii="仿宋" w:hAnsi="仿宋" w:eastAsia="仿宋"/>
          <w:sz w:val="30"/>
          <w:szCs w:val="30"/>
        </w:rPr>
        <w:t>，较</w:t>
      </w:r>
      <w:r>
        <w:rPr>
          <w:rFonts w:hint="eastAsia" w:ascii="仿宋" w:hAnsi="仿宋" w:eastAsia="仿宋"/>
          <w:sz w:val="30"/>
          <w:szCs w:val="30"/>
          <w:lang w:eastAsia="zh-CN"/>
        </w:rPr>
        <w:t>2020</w:t>
      </w:r>
      <w:r>
        <w:rPr>
          <w:rFonts w:hint="eastAsia" w:ascii="仿宋" w:hAnsi="仿宋" w:eastAsia="仿宋"/>
          <w:sz w:val="30"/>
          <w:szCs w:val="30"/>
        </w:rPr>
        <w:t>年</w:t>
      </w:r>
      <w:r>
        <w:rPr>
          <w:rFonts w:hint="eastAsia" w:ascii="仿宋" w:hAnsi="仿宋" w:eastAsia="仿宋"/>
          <w:sz w:val="30"/>
          <w:szCs w:val="30"/>
          <w:lang w:eastAsia="zh-CN"/>
        </w:rPr>
        <w:t>减少</w:t>
      </w:r>
      <w:r>
        <w:rPr>
          <w:rFonts w:hint="eastAsia" w:ascii="仿宋" w:hAnsi="仿宋" w:eastAsia="仿宋"/>
          <w:sz w:val="30"/>
          <w:szCs w:val="30"/>
          <w:lang w:val="en-US" w:eastAsia="zh-CN"/>
        </w:rPr>
        <w:t>18.73</w:t>
      </w:r>
      <w:r>
        <w:rPr>
          <w:rFonts w:hint="eastAsia" w:ascii="仿宋" w:hAnsi="仿宋" w:eastAsia="仿宋"/>
          <w:sz w:val="30"/>
          <w:szCs w:val="30"/>
        </w:rPr>
        <w:t>万元，</w:t>
      </w:r>
      <w:r>
        <w:rPr>
          <w:rFonts w:hint="eastAsia" w:ascii="仿宋" w:hAnsi="仿宋" w:eastAsia="仿宋"/>
          <w:sz w:val="30"/>
          <w:szCs w:val="30"/>
          <w:lang w:eastAsia="zh-CN"/>
        </w:rPr>
        <w:t>减少</w:t>
      </w:r>
      <w:r>
        <w:rPr>
          <w:rFonts w:hint="eastAsia" w:ascii="仿宋" w:hAnsi="仿宋" w:eastAsia="仿宋"/>
          <w:sz w:val="30"/>
          <w:szCs w:val="30"/>
          <w:lang w:val="en-US" w:eastAsia="zh-CN"/>
        </w:rPr>
        <w:t>82.62</w:t>
      </w:r>
      <w:r>
        <w:rPr>
          <w:rFonts w:hint="eastAsia" w:ascii="仿宋" w:hAnsi="仿宋" w:eastAsia="仿宋"/>
          <w:sz w:val="30"/>
          <w:szCs w:val="30"/>
        </w:rPr>
        <w:t>%，主要原因是：</w:t>
      </w:r>
      <w:r>
        <w:rPr>
          <w:rFonts w:hint="eastAsia" w:ascii="仿宋" w:hAnsi="仿宋" w:eastAsia="仿宋"/>
          <w:sz w:val="30"/>
          <w:szCs w:val="30"/>
          <w:lang w:eastAsia="zh-CN"/>
        </w:rPr>
        <w:t>单位开展活动减少</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keepNext w:val="0"/>
        <w:keepLines w:val="0"/>
        <w:pageBreakBefore w:val="0"/>
        <w:kinsoku/>
        <w:wordWrap/>
        <w:overflowPunct/>
        <w:topLinePunct w:val="0"/>
        <w:bidi w:val="0"/>
        <w:snapToGrid/>
        <w:spacing w:line="560" w:lineRule="exact"/>
        <w:ind w:firstLine="600" w:firstLineChars="200"/>
        <w:jc w:val="both"/>
        <w:textAlignment w:val="auto"/>
        <w:rPr>
          <w:rFonts w:hint="eastAsia" w:ascii="仿宋_GB2312" w:hAnsi="仿宋_GB2312" w:eastAsia="仿宋_GB2312"/>
          <w:sz w:val="32"/>
          <w:szCs w:val="32"/>
        </w:rPr>
      </w:pPr>
      <w:r>
        <w:rPr>
          <w:rFonts w:hint="eastAsia" w:ascii="仿宋" w:hAnsi="仿宋" w:eastAsia="仿宋"/>
          <w:sz w:val="30"/>
          <w:szCs w:val="30"/>
        </w:rPr>
        <w:t>本部门</w:t>
      </w:r>
      <w:r>
        <w:rPr>
          <w:rFonts w:hint="eastAsia" w:ascii="仿宋" w:hAnsi="仿宋" w:eastAsia="仿宋"/>
          <w:sz w:val="30"/>
          <w:szCs w:val="30"/>
          <w:lang w:eastAsia="zh-CN"/>
        </w:rPr>
        <w:t>2021</w:t>
      </w:r>
      <w:r>
        <w:rPr>
          <w:rFonts w:hint="eastAsia" w:ascii="仿宋" w:hAnsi="仿宋" w:eastAsia="仿宋"/>
          <w:sz w:val="30"/>
          <w:szCs w:val="30"/>
        </w:rPr>
        <w:t>年度一般公共预算财政拨款“三公”经费支出年初预算数为0万元，决算数为0万元，完成预算的</w:t>
      </w:r>
      <w:r>
        <w:rPr>
          <w:rFonts w:hint="eastAsia" w:ascii="仿宋" w:hAnsi="仿宋" w:eastAsia="仿宋"/>
          <w:sz w:val="30"/>
          <w:szCs w:val="30"/>
          <w:lang w:val="en-US" w:eastAsia="zh-CN"/>
        </w:rPr>
        <w:t>100</w:t>
      </w:r>
      <w:r>
        <w:rPr>
          <w:rFonts w:hint="eastAsia" w:ascii="仿宋" w:hAnsi="仿宋" w:eastAsia="仿宋"/>
          <w:sz w:val="30"/>
          <w:szCs w:val="30"/>
        </w:rPr>
        <w:t>%，决算数较</w:t>
      </w:r>
      <w:r>
        <w:rPr>
          <w:rFonts w:hint="eastAsia" w:ascii="仿宋" w:hAnsi="仿宋" w:eastAsia="仿宋"/>
          <w:sz w:val="30"/>
          <w:szCs w:val="30"/>
          <w:lang w:eastAsia="zh-CN"/>
        </w:rPr>
        <w:t>2020</w:t>
      </w:r>
      <w:r>
        <w:rPr>
          <w:rFonts w:hint="eastAsia" w:ascii="仿宋" w:hAnsi="仿宋" w:eastAsia="仿宋"/>
          <w:sz w:val="30"/>
          <w:szCs w:val="30"/>
        </w:rPr>
        <w:t>年</w:t>
      </w:r>
      <w:r>
        <w:rPr>
          <w:rFonts w:hint="eastAsia" w:ascii="仿宋" w:hAnsi="仿宋" w:eastAsia="仿宋"/>
          <w:sz w:val="30"/>
          <w:szCs w:val="30"/>
          <w:lang w:eastAsia="zh-CN"/>
        </w:rPr>
        <w:t>减少</w:t>
      </w:r>
      <w:r>
        <w:rPr>
          <w:rFonts w:hint="eastAsia" w:ascii="仿宋" w:hAnsi="仿宋" w:eastAsia="仿宋"/>
          <w:sz w:val="30"/>
          <w:szCs w:val="30"/>
          <w:lang w:val="en-US" w:eastAsia="zh-CN"/>
        </w:rPr>
        <w:t>0.4万元，减少100%</w:t>
      </w:r>
      <w:r>
        <w:rPr>
          <w:rFonts w:hint="eastAsia" w:ascii="仿宋" w:hAnsi="仿宋" w:eastAsia="仿宋"/>
          <w:sz w:val="30"/>
          <w:szCs w:val="30"/>
        </w:rPr>
        <w:t>，</w:t>
      </w:r>
      <w:r>
        <w:rPr>
          <w:rFonts w:hint="eastAsia" w:ascii="仿宋_GB2312" w:hAnsi="仿宋_GB2312" w:eastAsia="仿宋_GB2312"/>
          <w:sz w:val="32"/>
          <w:szCs w:val="32"/>
        </w:rPr>
        <w:t>其中：</w:t>
      </w:r>
    </w:p>
    <w:p>
      <w:pPr>
        <w:keepNext w:val="0"/>
        <w:keepLines w:val="0"/>
        <w:pageBreakBefore w:val="0"/>
        <w:numPr>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sz w:val="32"/>
          <w:szCs w:val="32"/>
          <w:lang w:val="en-US" w:eastAsia="zh-CN"/>
        </w:rPr>
      </w:pP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一）</w:t>
      </w:r>
      <w:r>
        <w:rPr>
          <w:rFonts w:hint="eastAsia" w:ascii="仿宋_GB2312" w:hAnsi="仿宋_GB2312" w:eastAsia="仿宋_GB2312"/>
          <w:sz w:val="32"/>
          <w:szCs w:val="32"/>
        </w:rPr>
        <w:t>因公出国（境）支出年初预算数为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决算数为0万元，完成预算的0%，决算数较2020年增加0 万元，增长0 %，主要原因是：本年度及上年度均未发生因公出国（境）支出。全年安排因公出国（境）团组0个，累计0人次。</w:t>
      </w:r>
    </w:p>
    <w:p>
      <w:pPr>
        <w:ind w:firstLine="63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（二）公务接待费支出年初预算数为</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元，决算数为</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元，完成预算的</w:t>
      </w:r>
      <w:r>
        <w:rPr>
          <w:rFonts w:hint="eastAsia" w:ascii="仿宋_GB2312" w:hAnsi="仿宋_GB2312" w:eastAsia="仿宋_GB2312" w:cs="Times New Roman"/>
          <w:sz w:val="32"/>
          <w:szCs w:val="32"/>
          <w:lang w:val="en-US" w:eastAsia="zh-CN"/>
        </w:rPr>
        <w:t>100</w:t>
      </w:r>
      <w:r>
        <w:rPr>
          <w:rFonts w:hint="eastAsia" w:ascii="仿宋_GB2312" w:hAnsi="仿宋_GB2312" w:eastAsia="仿宋_GB2312" w:cs="Times New Roman"/>
          <w:sz w:val="32"/>
          <w:szCs w:val="32"/>
        </w:rPr>
        <w:t>%，决算数较</w:t>
      </w:r>
      <w:r>
        <w:rPr>
          <w:rFonts w:hint="eastAsia" w:ascii="仿宋_GB2312" w:hAnsi="仿宋_GB2312" w:eastAsia="仿宋_GB2312" w:cs="Times New Roman"/>
          <w:sz w:val="32"/>
          <w:szCs w:val="32"/>
          <w:lang w:val="en-US" w:eastAsia="zh-CN"/>
        </w:rPr>
        <w:t>2020</w:t>
      </w:r>
      <w:r>
        <w:rPr>
          <w:rFonts w:hint="eastAsia" w:ascii="仿宋_GB2312" w:hAnsi="仿宋_GB2312" w:eastAsia="仿宋_GB2312" w:cs="Times New Roman"/>
          <w:sz w:val="32"/>
          <w:szCs w:val="32"/>
        </w:rPr>
        <w:t>年</w:t>
      </w:r>
      <w:r>
        <w:rPr>
          <w:rFonts w:hint="eastAsia" w:ascii="仿宋_GB2312" w:hAnsi="仿宋_GB2312" w:eastAsia="仿宋_GB2312" w:cs="Times New Roman"/>
          <w:sz w:val="32"/>
          <w:szCs w:val="32"/>
          <w:lang w:eastAsia="zh-CN"/>
        </w:rPr>
        <w:t>增加</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万元，增长</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w:t>
      </w:r>
      <w:r>
        <w:rPr>
          <w:rFonts w:hint="eastAsia" w:ascii="仿宋" w:hAnsi="仿宋" w:eastAsia="仿宋"/>
          <w:color w:val="000000" w:themeColor="text1"/>
          <w:sz w:val="30"/>
          <w:szCs w:val="30"/>
          <w:lang w:val="en-US" w:eastAsia="zh-CN"/>
        </w:rPr>
        <w:t>全年国内公务接待0</w:t>
      </w:r>
      <w:bookmarkStart w:id="0" w:name="_GoBack"/>
      <w:bookmarkEnd w:id="0"/>
      <w:r>
        <w:rPr>
          <w:rFonts w:hint="eastAsia" w:ascii="仿宋" w:hAnsi="仿宋" w:eastAsia="仿宋"/>
          <w:color w:val="000000" w:themeColor="text1"/>
          <w:sz w:val="30"/>
          <w:szCs w:val="30"/>
          <w:lang w:val="en-US" w:eastAsia="zh-CN"/>
        </w:rPr>
        <w:t>批，累计接待0人次，其中外事接待0批，累计接待0人次</w:t>
      </w:r>
      <w:r>
        <w:rPr>
          <w:rFonts w:hint="eastAsia" w:ascii="仿宋" w:hAnsi="仿宋" w:eastAsia="仿宋"/>
          <w:color w:val="000000" w:themeColor="text1"/>
          <w:sz w:val="30"/>
          <w:szCs w:val="30"/>
        </w:rPr>
        <w:t>。</w:t>
      </w:r>
      <w:r>
        <w:rPr>
          <w:rFonts w:hint="eastAsia" w:ascii="仿宋_GB2312" w:hAnsi="仿宋_GB2312" w:eastAsia="仿宋_GB2312" w:cs="Times New Roman"/>
          <w:sz w:val="32"/>
          <w:szCs w:val="32"/>
          <w:lang w:val="en-US" w:eastAsia="zh-CN"/>
        </w:rPr>
        <w:t>主要原因是：</w:t>
      </w:r>
      <w:r>
        <w:rPr>
          <w:rFonts w:hint="eastAsia" w:ascii="仿宋_GB2312" w:hAnsi="仿宋_GB2312" w:eastAsia="仿宋_GB2312"/>
          <w:sz w:val="32"/>
          <w:szCs w:val="32"/>
        </w:rPr>
        <w:t>我</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落实过紧日子要求，厉行节约。</w:t>
      </w:r>
    </w:p>
    <w:p>
      <w:pPr>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 w:hAnsi="仿宋" w:eastAsia="仿宋"/>
          <w:sz w:val="30"/>
          <w:szCs w:val="30"/>
          <w:lang w:eastAsia="zh-CN"/>
        </w:rPr>
      </w:pPr>
      <w:r>
        <w:rPr>
          <w:rFonts w:hint="eastAsia" w:ascii="仿宋_GB2312" w:hAnsi="仿宋_GB2312" w:eastAsia="仿宋_GB2312" w:cs="Times New Roman"/>
          <w:sz w:val="32"/>
          <w:szCs w:val="32"/>
        </w:rPr>
        <w:t>（三）公务用车购置及运行维护费支出</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万元，其中公务用车购置年初预算数为</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万元，决算数为</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万元，完成预算的</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%，决算数较</w:t>
      </w:r>
      <w:r>
        <w:rPr>
          <w:rFonts w:hint="eastAsia" w:ascii="仿宋_GB2312" w:hAnsi="仿宋_GB2312" w:eastAsia="仿宋_GB2312" w:cs="Times New Roman"/>
          <w:sz w:val="32"/>
          <w:szCs w:val="32"/>
          <w:lang w:val="en-US" w:eastAsia="zh-CN"/>
        </w:rPr>
        <w:t>2020</w:t>
      </w:r>
      <w:r>
        <w:rPr>
          <w:rFonts w:hint="eastAsia" w:ascii="仿宋_GB2312" w:hAnsi="仿宋_GB2312" w:eastAsia="仿宋_GB2312" w:cs="Times New Roman"/>
          <w:sz w:val="32"/>
          <w:szCs w:val="32"/>
        </w:rPr>
        <w:t>年增加（减少）</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万元，增长（下降）</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全年购置公务用车0辆</w:t>
      </w:r>
      <w:r>
        <w:rPr>
          <w:rFonts w:hint="eastAsia" w:ascii="仿宋_GB2312" w:hAnsi="仿宋_GB2312" w:eastAsia="仿宋_GB2312" w:cs="Times New Roman"/>
          <w:sz w:val="32"/>
          <w:szCs w:val="32"/>
        </w:rPr>
        <w:t>。公务用车运行维护费支出年初预算数为</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万元，决算数为</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万元，完成预算的</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 xml:space="preserve"> %，</w:t>
      </w:r>
      <w:r>
        <w:rPr>
          <w:rFonts w:hint="eastAsia" w:ascii="仿宋_GB2312" w:hAnsi="仿宋_GB2312" w:eastAsia="仿宋_GB2312" w:cs="Times New Roman"/>
          <w:sz w:val="32"/>
          <w:szCs w:val="32"/>
          <w:lang w:val="en-US" w:eastAsia="zh-CN"/>
        </w:rPr>
        <w:t>年末公务用车保有0辆</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原因为：公车改革，本单位没有公务用车。</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w:t>
      </w:r>
      <w:r>
        <w:rPr>
          <w:rFonts w:hint="eastAsia" w:ascii="仿宋" w:hAnsi="仿宋" w:eastAsia="仿宋"/>
          <w:sz w:val="30"/>
          <w:szCs w:val="30"/>
        </w:rPr>
        <w:t>年度机关运行经费支出</w:t>
      </w:r>
      <w:r>
        <w:rPr>
          <w:rFonts w:hint="eastAsia" w:ascii="仿宋" w:hAnsi="仿宋" w:eastAsia="仿宋"/>
          <w:sz w:val="30"/>
          <w:szCs w:val="30"/>
          <w:lang w:val="en-US" w:eastAsia="zh-CN"/>
        </w:rPr>
        <w:t>3.94</w:t>
      </w:r>
      <w:r>
        <w:rPr>
          <w:rFonts w:hint="eastAsia" w:ascii="仿宋" w:hAnsi="仿宋" w:eastAsia="仿宋"/>
          <w:sz w:val="30"/>
          <w:szCs w:val="30"/>
        </w:rPr>
        <w:t xml:space="preserve">万元（与部门决算中行政单位和参照公务员法管理事业单位一般公共预算财政拨款基本支出中公用经费之和保持一致），与年初预算数持平。 </w:t>
      </w:r>
    </w:p>
    <w:p>
      <w:pPr>
        <w:ind w:firstLine="630"/>
        <w:jc w:val="left"/>
        <w:rPr>
          <w:rFonts w:ascii="黑体" w:hAnsi="黑体" w:eastAsia="黑体"/>
          <w:sz w:val="30"/>
          <w:szCs w:val="30"/>
        </w:rPr>
      </w:pPr>
      <w:r>
        <w:rPr>
          <w:rFonts w:hint="eastAsia" w:ascii="黑体" w:hAnsi="黑体" w:eastAsia="黑体"/>
          <w:sz w:val="30"/>
          <w:szCs w:val="30"/>
        </w:rPr>
        <w:t>七、政府采购支出情况说明</w:t>
      </w:r>
    </w:p>
    <w:p>
      <w:pPr>
        <w:pStyle w:val="9"/>
        <w:spacing w:line="600" w:lineRule="atLeast"/>
        <w:ind w:firstLine="600"/>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w:t>
      </w:r>
      <w:r>
        <w:rPr>
          <w:rFonts w:hint="eastAsia" w:ascii="仿宋" w:hAnsi="仿宋" w:eastAsia="仿宋"/>
          <w:sz w:val="30"/>
          <w:szCs w:val="30"/>
        </w:rPr>
        <w:t>年度无政府采购支出。</w:t>
      </w:r>
    </w:p>
    <w:p>
      <w:pPr>
        <w:ind w:firstLine="630"/>
        <w:jc w:val="left"/>
        <w:rPr>
          <w:rFonts w:hint="eastAsia" w:ascii="黑体" w:hAnsi="黑体" w:eastAsia="黑体"/>
          <w:sz w:val="30"/>
          <w:szCs w:val="30"/>
        </w:rPr>
      </w:pPr>
      <w:r>
        <w:rPr>
          <w:rFonts w:hint="eastAsia" w:ascii="黑体" w:hAnsi="黑体" w:eastAsia="黑体"/>
          <w:sz w:val="30"/>
          <w:szCs w:val="30"/>
        </w:rPr>
        <w:t>八、国有资产占用情况说明。</w:t>
      </w:r>
    </w:p>
    <w:p>
      <w:pPr>
        <w:keepNext w:val="0"/>
        <w:keepLines w:val="0"/>
        <w:pageBreakBefore w:val="0"/>
        <w:kinsoku/>
        <w:wordWrap/>
        <w:overflowPunct/>
        <w:topLinePunct w:val="0"/>
        <w:bidi w:val="0"/>
        <w:snapToGrid/>
        <w:spacing w:line="550" w:lineRule="exact"/>
        <w:ind w:firstLine="630"/>
        <w:jc w:val="both"/>
        <w:textAlignment w:val="auto"/>
        <w:rPr>
          <w:rFonts w:hint="eastAsia" w:ascii="仿宋" w:hAnsi="仿宋" w:eastAsia="仿宋"/>
          <w:kern w:val="0"/>
          <w:sz w:val="30"/>
          <w:szCs w:val="30"/>
        </w:rPr>
      </w:pPr>
      <w:r>
        <w:rPr>
          <w:rFonts w:hint="eastAsia" w:ascii="仿宋" w:hAnsi="仿宋" w:eastAsia="仿宋"/>
          <w:kern w:val="0"/>
          <w:sz w:val="30"/>
          <w:szCs w:val="30"/>
        </w:rPr>
        <w:t>截止</w:t>
      </w:r>
      <w:r>
        <w:rPr>
          <w:rFonts w:hint="eastAsia" w:ascii="仿宋" w:hAnsi="仿宋" w:eastAsia="仿宋"/>
          <w:kern w:val="0"/>
          <w:sz w:val="30"/>
          <w:szCs w:val="30"/>
          <w:lang w:eastAsia="zh-CN"/>
        </w:rPr>
        <w:t>2021</w:t>
      </w:r>
      <w:r>
        <w:rPr>
          <w:rFonts w:hint="eastAsia" w:ascii="仿宋" w:hAnsi="仿宋" w:eastAsia="仿宋"/>
          <w:kern w:val="0"/>
          <w:sz w:val="30"/>
          <w:szCs w:val="30"/>
        </w:rPr>
        <w:t>年12月31日，</w:t>
      </w:r>
      <w:r>
        <w:rPr>
          <w:rFonts w:hint="eastAsia" w:ascii="仿宋_GB2312" w:hAnsi="仿宋_GB2312" w:eastAsia="仿宋_GB2312"/>
          <w:kern w:val="0"/>
          <w:sz w:val="32"/>
          <w:szCs w:val="32"/>
        </w:rPr>
        <w:t>本</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国有资产占用情况见</w:t>
      </w:r>
      <w:r>
        <w:rPr>
          <w:rFonts w:hint="eastAsia" w:ascii="仿宋_GB2312" w:hAnsi="仿宋_GB2312" w:eastAsia="仿宋_GB2312"/>
          <w:kern w:val="0"/>
          <w:sz w:val="32"/>
          <w:szCs w:val="32"/>
          <w:lang w:val="en-US" w:eastAsia="zh-CN"/>
        </w:rPr>
        <w:t>公开10</w:t>
      </w:r>
      <w:r>
        <w:rPr>
          <w:rFonts w:hint="eastAsia" w:ascii="仿宋_GB2312" w:hAnsi="仿宋_GB2312" w:eastAsia="仿宋_GB2312"/>
          <w:kern w:val="0"/>
          <w:sz w:val="32"/>
          <w:szCs w:val="32"/>
        </w:rPr>
        <w:t>表《国有资产占用情况表》。</w:t>
      </w:r>
      <w:r>
        <w:rPr>
          <w:rFonts w:hint="eastAsia" w:ascii="仿宋_GB2312" w:hAnsi="仿宋_GB2312" w:eastAsia="仿宋_GB2312"/>
          <w:kern w:val="0"/>
          <w:sz w:val="32"/>
          <w:szCs w:val="32"/>
          <w:lang w:val="en-US" w:eastAsia="zh-CN"/>
        </w:rPr>
        <w:t>部门未购置、保留车辆</w:t>
      </w:r>
      <w:r>
        <w:rPr>
          <w:rFonts w:hint="eastAsia" w:ascii="仿宋_GB2312" w:hAnsi="仿宋_GB2312" w:eastAsia="仿宋_GB2312"/>
          <w:kern w:val="0"/>
          <w:sz w:val="32"/>
          <w:szCs w:val="32"/>
        </w:rPr>
        <w:t>。</w:t>
      </w:r>
    </w:p>
    <w:p>
      <w:pPr>
        <w:ind w:firstLine="630"/>
        <w:jc w:val="left"/>
        <w:rPr>
          <w:rFonts w:hint="eastAsia" w:ascii="黑体" w:hAnsi="黑体" w:eastAsia="黑体"/>
          <w:sz w:val="30"/>
          <w:szCs w:val="30"/>
        </w:rPr>
      </w:pPr>
      <w:r>
        <w:rPr>
          <w:rFonts w:hint="eastAsia" w:ascii="黑体" w:hAnsi="黑体" w:eastAsia="黑体"/>
          <w:sz w:val="30"/>
          <w:szCs w:val="30"/>
        </w:rPr>
        <w:t>九、预算绩效情况说明</w:t>
      </w:r>
    </w:p>
    <w:p>
      <w:pPr>
        <w:keepNext w:val="0"/>
        <w:keepLines w:val="0"/>
        <w:pageBreakBefore w:val="0"/>
        <w:kinsoku/>
        <w:wordWrap/>
        <w:overflowPunct/>
        <w:topLinePunct w:val="0"/>
        <w:autoSpaceDE w:val="0"/>
        <w:autoSpaceDN w:val="0"/>
        <w:bidi w:val="0"/>
        <w:adjustRightInd w:val="0"/>
        <w:snapToGrid/>
        <w:spacing w:line="550" w:lineRule="exact"/>
        <w:jc w:val="both"/>
        <w:textAlignment w:val="auto"/>
        <w:rPr>
          <w:rFonts w:hint="eastAsia" w:ascii="仿宋_GB2312" w:hAnsi="仿宋_GB2312" w:eastAsia="仿宋_GB2312" w:cs="仿宋_GB2312"/>
          <w:kern w:val="0"/>
          <w:sz w:val="32"/>
          <w:szCs w:val="32"/>
        </w:rPr>
      </w:pPr>
      <w:r>
        <w:rPr>
          <w:rFonts w:hint="eastAsia" w:ascii="仿宋" w:hAnsi="仿宋" w:eastAsia="仿宋" w:cs="仿宋_GB2312"/>
          <w:kern w:val="0"/>
          <w:sz w:val="30"/>
          <w:szCs w:val="30"/>
        </w:rPr>
        <w:t xml:space="preserve">    </w:t>
      </w:r>
      <w:r>
        <w:rPr>
          <w:rFonts w:hint="eastAsia" w:ascii="仿宋_GB2312" w:hAnsi="仿宋_GB2312" w:eastAsia="仿宋_GB2312" w:cs="仿宋_GB2312"/>
          <w:kern w:val="0"/>
          <w:sz w:val="32"/>
          <w:szCs w:val="32"/>
        </w:rPr>
        <w:t>（一）绩效管理工作开展情况。</w:t>
      </w:r>
    </w:p>
    <w:p>
      <w:pPr>
        <w:keepNext w:val="0"/>
        <w:keepLines w:val="0"/>
        <w:pageBreakBefore w:val="0"/>
        <w:widowControl w:val="0"/>
        <w:kinsoku/>
        <w:wordWrap/>
        <w:overflowPunct/>
        <w:topLinePunct w:val="0"/>
        <w:autoSpaceDE/>
        <w:autoSpaceDN/>
        <w:bidi w:val="0"/>
        <w:adjustRightInd/>
        <w:snapToGrid/>
        <w:spacing w:line="600" w:lineRule="exact"/>
        <w:ind w:firstLine="63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kern w:val="0"/>
          <w:sz w:val="32"/>
          <w:szCs w:val="32"/>
        </w:rPr>
        <w:t>根据预算绩效管理要求，我部门组织</w:t>
      </w:r>
      <w:r>
        <w:rPr>
          <w:rFonts w:hint="eastAsia" w:ascii="仿宋_GB2312" w:hAnsi="仿宋_GB2312" w:eastAsia="仿宋_GB2312" w:cs="仿宋_GB2312"/>
          <w:color w:val="auto"/>
          <w:kern w:val="0"/>
          <w:sz w:val="32"/>
          <w:szCs w:val="32"/>
        </w:rPr>
        <w:t>对</w:t>
      </w:r>
      <w:r>
        <w:rPr>
          <w:rFonts w:hint="eastAsia" w:ascii="仿宋_GB2312" w:hAnsi="仿宋_GB2312" w:eastAsia="仿宋_GB2312" w:cs="仿宋_GB2312"/>
          <w:color w:val="auto"/>
          <w:kern w:val="0"/>
          <w:sz w:val="32"/>
          <w:szCs w:val="32"/>
          <w:lang w:val="en-US" w:eastAsia="zh-CN"/>
        </w:rPr>
        <w:t>纳入</w:t>
      </w:r>
      <w:r>
        <w:rPr>
          <w:rFonts w:ascii="仿宋_GB2312" w:hAnsi="仿宋_GB2312" w:eastAsia="仿宋_GB2312" w:cs="仿宋_GB2312"/>
          <w:color w:val="auto"/>
          <w:kern w:val="0"/>
          <w:sz w:val="32"/>
          <w:szCs w:val="32"/>
        </w:rPr>
        <w:t>20</w:t>
      </w: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年度</w:t>
      </w:r>
      <w:r>
        <w:rPr>
          <w:rFonts w:hint="eastAsia" w:ascii="仿宋_GB2312" w:hAnsi="仿宋_GB2312" w:eastAsia="仿宋_GB2312" w:cs="仿宋_GB2312"/>
          <w:color w:val="auto"/>
          <w:kern w:val="0"/>
          <w:sz w:val="32"/>
          <w:szCs w:val="32"/>
          <w:lang w:val="en-US" w:eastAsia="zh-CN"/>
        </w:rPr>
        <w:t>部门预算范围的二级项目</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lang w:eastAsia="zh-CN"/>
        </w:rPr>
        <w:t>个</w:t>
      </w:r>
      <w:r>
        <w:rPr>
          <w:rFonts w:hint="eastAsia" w:ascii="仿宋_GB2312" w:hAnsi="仿宋_GB2312" w:eastAsia="仿宋_GB2312" w:cs="仿宋_GB2312"/>
          <w:color w:val="auto"/>
          <w:kern w:val="0"/>
          <w:sz w:val="32"/>
          <w:szCs w:val="32"/>
        </w:rPr>
        <w:t>全面开展绩效自评</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共涉及资金</w:t>
      </w:r>
      <w:r>
        <w:rPr>
          <w:rFonts w:hint="eastAsia" w:ascii="仿宋_GB2312" w:hAnsi="仿宋_GB2312" w:eastAsia="仿宋_GB2312" w:cs="仿宋_GB2312"/>
          <w:kern w:val="0"/>
          <w:sz w:val="32"/>
          <w:szCs w:val="32"/>
          <w:lang w:val="en-US" w:eastAsia="zh-CN"/>
        </w:rPr>
        <w:t>25</w:t>
      </w:r>
      <w:r>
        <w:rPr>
          <w:rFonts w:hint="eastAsia" w:ascii="仿宋_GB2312" w:hAnsi="仿宋_GB2312" w:eastAsia="仿宋_GB2312" w:cs="仿宋_GB2312"/>
          <w:kern w:val="0"/>
          <w:sz w:val="32"/>
          <w:szCs w:val="32"/>
        </w:rPr>
        <w:t>万元，占项目支出总额的100%，</w:t>
      </w:r>
      <w:r>
        <w:rPr>
          <w:rFonts w:hint="eastAsia" w:ascii="仿宋_GB2312" w:hAnsi="仿宋_GB2312" w:eastAsia="仿宋_GB2312" w:cs="仿宋_GB2312"/>
          <w:kern w:val="0"/>
          <w:sz w:val="32"/>
          <w:szCs w:val="32"/>
          <w:lang w:val="en-US" w:eastAsia="zh-CN"/>
        </w:rPr>
        <w:t>2021年该5个项目</w:t>
      </w:r>
      <w:r>
        <w:rPr>
          <w:rFonts w:hint="eastAsia" w:ascii="仿宋_GB2312" w:hAnsi="仿宋_GB2312" w:eastAsia="仿宋_GB2312" w:cs="仿宋_GB2312"/>
          <w:kern w:val="0"/>
          <w:sz w:val="32"/>
          <w:szCs w:val="32"/>
          <w:lang w:eastAsia="zh-CN"/>
        </w:rPr>
        <w:t>均已顺利执行到位</w:t>
      </w:r>
      <w:r>
        <w:rPr>
          <w:rFonts w:hint="eastAsia" w:ascii="仿宋_GB2312" w:hAnsi="仿宋_GB2312" w:eastAsia="仿宋_GB2312" w:cs="仿宋_GB2312"/>
          <w:kern w:val="0"/>
          <w:sz w:val="32"/>
          <w:szCs w:val="32"/>
        </w:rPr>
        <w:t>，达到</w:t>
      </w:r>
      <w:r>
        <w:rPr>
          <w:rFonts w:hint="eastAsia" w:ascii="仿宋_GB2312" w:hAnsi="仿宋_GB2312" w:eastAsia="仿宋_GB2312" w:cs="仿宋_GB2312"/>
          <w:kern w:val="0"/>
          <w:sz w:val="32"/>
          <w:szCs w:val="32"/>
          <w:lang w:eastAsia="zh-CN"/>
        </w:rPr>
        <w:t>了</w:t>
      </w:r>
      <w:r>
        <w:rPr>
          <w:rFonts w:hint="eastAsia" w:ascii="仿宋_GB2312" w:hAnsi="仿宋_GB2312" w:eastAsia="仿宋_GB2312" w:cs="仿宋_GB2312"/>
          <w:kern w:val="0"/>
          <w:sz w:val="32"/>
          <w:szCs w:val="32"/>
        </w:rPr>
        <w:t>绩效评价目标。</w:t>
      </w:r>
    </w:p>
    <w:p>
      <w:pPr>
        <w:keepNext w:val="0"/>
        <w:keepLines w:val="0"/>
        <w:pageBreakBefore w:val="0"/>
        <w:numPr>
          <w:ilvl w:val="0"/>
          <w:numId w:val="1"/>
        </w:numPr>
        <w:kinsoku/>
        <w:wordWrap/>
        <w:overflowPunct/>
        <w:topLinePunct w:val="0"/>
        <w:autoSpaceDE w:val="0"/>
        <w:autoSpaceDN w:val="0"/>
        <w:bidi w:val="0"/>
        <w:adjustRightInd w:val="0"/>
        <w:snapToGrid/>
        <w:spacing w:line="550" w:lineRule="exact"/>
        <w:ind w:firstLine="420" w:firstLineChars="200"/>
        <w:jc w:val="both"/>
        <w:textAlignment w:val="auto"/>
        <w:rPr>
          <w:rFonts w:hint="eastAsia" w:ascii="仿宋_GB2312" w:hAnsi="仿宋_GB2312" w:eastAsia="仿宋_GB2312" w:cs="仿宋_GB2312"/>
          <w:color w:val="auto"/>
          <w:kern w:val="0"/>
          <w:sz w:val="32"/>
          <w:szCs w:val="32"/>
        </w:rPr>
      </w:pPr>
      <w:r>
        <w:drawing>
          <wp:anchor distT="0" distB="0" distL="114300" distR="114300" simplePos="0" relativeHeight="251659264" behindDoc="1" locked="0" layoutInCell="1" allowOverlap="1">
            <wp:simplePos x="0" y="0"/>
            <wp:positionH relativeFrom="column">
              <wp:posOffset>120015</wp:posOffset>
            </wp:positionH>
            <wp:positionV relativeFrom="paragraph">
              <wp:posOffset>346075</wp:posOffset>
            </wp:positionV>
            <wp:extent cx="5272405" cy="5427345"/>
            <wp:effectExtent l="0" t="0" r="4445" b="1905"/>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6"/>
                    <a:stretch>
                      <a:fillRect/>
                    </a:stretch>
                  </pic:blipFill>
                  <pic:spPr>
                    <a:xfrm>
                      <a:off x="0" y="0"/>
                      <a:ext cx="5272405" cy="5427345"/>
                    </a:xfrm>
                    <a:prstGeom prst="rect">
                      <a:avLst/>
                    </a:prstGeom>
                    <a:noFill/>
                    <a:ln>
                      <a:noFill/>
                    </a:ln>
                  </pic:spPr>
                </pic:pic>
              </a:graphicData>
            </a:graphic>
          </wp:anchor>
        </w:drawing>
      </w:r>
      <w:r>
        <w:rPr>
          <w:rFonts w:hint="eastAsia" w:ascii="仿宋_GB2312" w:hAnsi="仿宋_GB2312" w:eastAsia="仿宋_GB2312" w:cs="仿宋_GB2312"/>
          <w:color w:val="auto"/>
          <w:kern w:val="0"/>
          <w:sz w:val="32"/>
          <w:szCs w:val="32"/>
          <w:lang w:val="en-US" w:eastAsia="zh-CN"/>
        </w:rPr>
        <w:t>单位</w:t>
      </w:r>
      <w:r>
        <w:rPr>
          <w:rFonts w:hint="eastAsia" w:ascii="仿宋_GB2312" w:hAnsi="仿宋_GB2312" w:eastAsia="仿宋_GB2312" w:cs="仿宋_GB2312"/>
          <w:color w:val="auto"/>
          <w:kern w:val="0"/>
          <w:sz w:val="32"/>
          <w:szCs w:val="32"/>
        </w:rPr>
        <w:t>决算中项目绩效自评</w:t>
      </w:r>
      <w:r>
        <w:rPr>
          <w:rFonts w:hint="eastAsia" w:ascii="仿宋_GB2312" w:hAnsi="仿宋_GB2312" w:eastAsia="仿宋_GB2312" w:cs="仿宋_GB2312"/>
          <w:color w:val="auto"/>
          <w:kern w:val="0"/>
          <w:sz w:val="32"/>
          <w:szCs w:val="32"/>
          <w:lang w:val="en-US" w:eastAsia="zh-CN"/>
        </w:rPr>
        <w:t>情况</w:t>
      </w:r>
      <w:r>
        <w:rPr>
          <w:rFonts w:hint="eastAsia" w:ascii="仿宋_GB2312" w:hAnsi="仿宋_GB2312" w:eastAsia="仿宋_GB2312" w:cs="仿宋_GB2312"/>
          <w:color w:val="auto"/>
          <w:kern w:val="0"/>
          <w:sz w:val="32"/>
          <w:szCs w:val="32"/>
        </w:rPr>
        <w:t>。</w:t>
      </w:r>
    </w:p>
    <w:p>
      <w:pPr>
        <w:rPr>
          <w:rFonts w:hint="eastAsia"/>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drawing>
          <wp:anchor distT="0" distB="0" distL="114300" distR="114300" simplePos="0" relativeHeight="251660288" behindDoc="1" locked="0" layoutInCell="1" allowOverlap="1">
            <wp:simplePos x="0" y="0"/>
            <wp:positionH relativeFrom="column">
              <wp:posOffset>-312420</wp:posOffset>
            </wp:positionH>
            <wp:positionV relativeFrom="paragraph">
              <wp:posOffset>295910</wp:posOffset>
            </wp:positionV>
            <wp:extent cx="5890895" cy="6483985"/>
            <wp:effectExtent l="0" t="0" r="14605" b="12065"/>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7"/>
                    <a:stretch>
                      <a:fillRect/>
                    </a:stretch>
                  </pic:blipFill>
                  <pic:spPr>
                    <a:xfrm>
                      <a:off x="0" y="0"/>
                      <a:ext cx="5890895" cy="6483985"/>
                    </a:xfrm>
                    <a:prstGeom prst="rect">
                      <a:avLst/>
                    </a:prstGeom>
                    <a:noFill/>
                    <a:ln>
                      <a:noFill/>
                    </a:ln>
                  </pic:spPr>
                </pic:pic>
              </a:graphicData>
            </a:graphic>
          </wp:anchor>
        </w:drawing>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drawing>
          <wp:anchor distT="0" distB="0" distL="114300" distR="114300" simplePos="0" relativeHeight="251661312" behindDoc="1" locked="0" layoutInCell="1" allowOverlap="1">
            <wp:simplePos x="0" y="0"/>
            <wp:positionH relativeFrom="column">
              <wp:posOffset>-366395</wp:posOffset>
            </wp:positionH>
            <wp:positionV relativeFrom="paragraph">
              <wp:posOffset>294640</wp:posOffset>
            </wp:positionV>
            <wp:extent cx="6159500" cy="6803390"/>
            <wp:effectExtent l="0" t="0" r="12700" b="16510"/>
            <wp:wrapNone/>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8"/>
                    <a:stretch>
                      <a:fillRect/>
                    </a:stretch>
                  </pic:blipFill>
                  <pic:spPr>
                    <a:xfrm>
                      <a:off x="0" y="0"/>
                      <a:ext cx="6159500" cy="6803390"/>
                    </a:xfrm>
                    <a:prstGeom prst="rect">
                      <a:avLst/>
                    </a:prstGeom>
                    <a:noFill/>
                    <a:ln>
                      <a:noFill/>
                    </a:ln>
                  </pic:spPr>
                </pic:pic>
              </a:graphicData>
            </a:graphic>
          </wp:anchor>
        </w:drawing>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drawing>
          <wp:anchor distT="0" distB="0" distL="114300" distR="114300" simplePos="0" relativeHeight="251662336" behindDoc="1" locked="0" layoutInCell="1" allowOverlap="1">
            <wp:simplePos x="0" y="0"/>
            <wp:positionH relativeFrom="column">
              <wp:posOffset>-271145</wp:posOffset>
            </wp:positionH>
            <wp:positionV relativeFrom="paragraph">
              <wp:posOffset>181610</wp:posOffset>
            </wp:positionV>
            <wp:extent cx="5788025" cy="6783705"/>
            <wp:effectExtent l="0" t="0" r="3175" b="17145"/>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9"/>
                    <a:stretch>
                      <a:fillRect/>
                    </a:stretch>
                  </pic:blipFill>
                  <pic:spPr>
                    <a:xfrm>
                      <a:off x="0" y="0"/>
                      <a:ext cx="5788025" cy="6783705"/>
                    </a:xfrm>
                    <a:prstGeom prst="rect">
                      <a:avLst/>
                    </a:prstGeom>
                    <a:noFill/>
                    <a:ln>
                      <a:noFill/>
                    </a:ln>
                  </pic:spPr>
                </pic:pic>
              </a:graphicData>
            </a:graphic>
          </wp:anchor>
        </w:drawing>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pStyle w:val="3"/>
        <w:rPr>
          <w:rFonts w:hint="eastAsia" w:ascii="宋体" w:hAnsi="宋体"/>
          <w:b/>
          <w:sz w:val="32"/>
          <w:szCs w:val="32"/>
        </w:rPr>
      </w:pPr>
    </w:p>
    <w:p>
      <w:pPr>
        <w:pStyle w:val="3"/>
        <w:rPr>
          <w:rFonts w:hint="eastAsia" w:ascii="宋体" w:hAnsi="宋体"/>
          <w:b/>
          <w:sz w:val="32"/>
          <w:szCs w:val="32"/>
        </w:rPr>
      </w:pPr>
    </w:p>
    <w:p>
      <w:pPr>
        <w:pStyle w:val="3"/>
        <w:rPr>
          <w:rFonts w:hint="eastAsia" w:ascii="宋体" w:hAnsi="宋体"/>
          <w:b/>
          <w:sz w:val="32"/>
          <w:szCs w:val="32"/>
        </w:rPr>
      </w:pPr>
    </w:p>
    <w:p>
      <w:pPr>
        <w:pStyle w:val="3"/>
        <w:rPr>
          <w:rFonts w:hint="eastAsia" w:ascii="宋体" w:hAnsi="宋体"/>
          <w:b/>
          <w:sz w:val="32"/>
          <w:szCs w:val="32"/>
        </w:rPr>
      </w:pPr>
      <w:r>
        <w:drawing>
          <wp:inline distT="0" distB="0" distL="114300" distR="114300">
            <wp:extent cx="5269865" cy="4836795"/>
            <wp:effectExtent l="0" t="0" r="6985" b="1905"/>
            <wp:docPr id="1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9"/>
                    <pic:cNvPicPr>
                      <a:picLocks noChangeAspect="1"/>
                    </pic:cNvPicPr>
                  </pic:nvPicPr>
                  <pic:blipFill>
                    <a:blip r:embed="rId20"/>
                    <a:stretch>
                      <a:fillRect/>
                    </a:stretch>
                  </pic:blipFill>
                  <pic:spPr>
                    <a:xfrm>
                      <a:off x="0" y="0"/>
                      <a:ext cx="5269865" cy="4836795"/>
                    </a:xfrm>
                    <a:prstGeom prst="rect">
                      <a:avLst/>
                    </a:prstGeom>
                    <a:noFill/>
                    <a:ln>
                      <a:noFill/>
                    </a:ln>
                  </pic:spPr>
                </pic:pic>
              </a:graphicData>
            </a:graphic>
          </wp:inline>
        </w:drawing>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第四部分  名词解释</w:t>
      </w:r>
    </w:p>
    <w:p>
      <w:pPr>
        <w:pStyle w:val="9"/>
        <w:spacing w:line="600" w:lineRule="atLeast"/>
        <w:ind w:firstLine="600"/>
        <w:rPr>
          <w:rFonts w:hint="eastAsia" w:ascii="仿宋" w:hAnsi="仿宋" w:eastAsia="仿宋"/>
          <w:sz w:val="30"/>
          <w:szCs w:val="30"/>
        </w:rPr>
      </w:pPr>
    </w:p>
    <w:p>
      <w:pPr>
        <w:spacing w:line="580" w:lineRule="exact"/>
        <w:ind w:firstLine="640" w:firstLineChars="200"/>
        <w:rPr>
          <w:rFonts w:hint="eastAsia" w:ascii="仿宋" w:hAnsi="仿宋" w:eastAsia="仿宋"/>
          <w:sz w:val="32"/>
          <w:szCs w:val="32"/>
          <w:lang w:val="zh-CN"/>
        </w:rPr>
      </w:pPr>
      <w:r>
        <w:rPr>
          <w:rFonts w:hint="eastAsia" w:ascii="仿宋" w:hAnsi="仿宋" w:eastAsia="仿宋"/>
          <w:sz w:val="32"/>
          <w:szCs w:val="32"/>
          <w:lang w:val="zh-CN"/>
        </w:rPr>
        <w:t>（一）财政拨款收入：指本年度从本级财政部门取得的财政拨款，包括一般公共预算财政拨款和政府性基金预算财政拨款。</w:t>
      </w:r>
    </w:p>
    <w:p>
      <w:pPr>
        <w:spacing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（二）其他收入：指除“财政拨款收入、上级补助收入、事业收入、经营收入”以外的收入。</w:t>
      </w:r>
    </w:p>
    <w:p>
      <w:pPr>
        <w:spacing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（三）年初结转和结余：指以前年度尚未完成，结转到本年按有关规定继续使用的。</w:t>
      </w:r>
    </w:p>
    <w:p>
      <w:pPr>
        <w:spacing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（四）基本支出：指行政事业单位，为保障其机构正常运转、完成日常工作任务的支出，其内容主要包括，工资福利支出 、商品和服务支出、对个人和家庭的补助支出三部分。</w:t>
      </w:r>
    </w:p>
    <w:p>
      <w:pPr>
        <w:spacing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（五）工资福利支出：反映单位的在职人员和临时人员各类劳动报酬，以及为上述人员缴纳的各项社会保险等费用。</w:t>
      </w:r>
    </w:p>
    <w:p>
      <w:pPr>
        <w:spacing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（六）商品和服务支出：反映单位为满足日常工作需要，购买商品和劳务的支出，具体包括;办公费、水费、电费、印刷费、邮电费、差旅费、维修费、公务接待费、福利费等。</w:t>
      </w:r>
    </w:p>
    <w:p>
      <w:pPr>
        <w:spacing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（七）对个人和家庭的补助支出：反映政府对个人和家庭的无偿补助支出，具体包括离退休费、抚恤和生活补助、医疗费、住房公积金、助学金、其他等。</w:t>
      </w:r>
    </w:p>
    <w:p/>
    <w:p/>
    <w:p>
      <w:pPr>
        <w:ind w:firstLine="630"/>
        <w:jc w:val="left"/>
        <w:rPr>
          <w:rFonts w:ascii="仿宋" w:hAnsi="仿宋" w:eastAsia="仿宋"/>
          <w:sz w:val="30"/>
          <w:szCs w:val="30"/>
        </w:rPr>
      </w:pPr>
    </w:p>
    <w:p/>
    <w:sectPr>
      <w:headerReference r:id="rId3" w:type="default"/>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Align="top"/>
      <w:pBdr>
        <w:top w:val="none" w:color="auto" w:sz="0" w:space="0"/>
        <w:left w:val="none" w:color="auto" w:sz="0" w:space="0"/>
        <w:bottom w:val="none" w:color="auto" w:sz="0" w:space="0"/>
        <w:right w:val="none" w:color="auto" w:sz="0" w:space="0"/>
        <w:between w:val="none" w:color="auto" w:sz="50" w:space="0"/>
      </w:pBdr>
      <w:spacing w:after="0" w:afterLines="0"/>
    </w:pPr>
    <w:r>
      <w:fldChar w:fldCharType="begin"/>
    </w:r>
    <w:r>
      <w:rPr>
        <w:rStyle w:val="8"/>
      </w:rPr>
      <w:instrText xml:space="preserve"> PAGE  </w:instrText>
    </w:r>
    <w:r>
      <w:fldChar w:fldCharType="separate"/>
    </w:r>
    <w:r>
      <w:rPr>
        <w:rStyle w:val="8"/>
      </w:rPr>
      <w:t>- 1 -</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65BE1C"/>
    <w:multiLevelType w:val="singleLevel"/>
    <w:tmpl w:val="F665BE1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1NzYzYzhmNTU2MDM4MGMxZTYyMDRlYmFlMWM3OWEifQ=="/>
  </w:docVars>
  <w:rsids>
    <w:rsidRoot w:val="00172A27"/>
    <w:rsid w:val="024778E0"/>
    <w:rsid w:val="149F1A0F"/>
    <w:rsid w:val="1952505D"/>
    <w:rsid w:val="27EB4C1F"/>
    <w:rsid w:val="2F4B3B76"/>
    <w:rsid w:val="318D46BC"/>
    <w:rsid w:val="3AEA5657"/>
    <w:rsid w:val="41507EC1"/>
    <w:rsid w:val="470E7422"/>
    <w:rsid w:val="49782F55"/>
    <w:rsid w:val="4B616DDE"/>
    <w:rsid w:val="4C9A3CEE"/>
    <w:rsid w:val="4F8F24EE"/>
    <w:rsid w:val="5206100B"/>
    <w:rsid w:val="55003B59"/>
    <w:rsid w:val="582C7CB7"/>
    <w:rsid w:val="58C325EB"/>
    <w:rsid w:val="5E501653"/>
    <w:rsid w:val="5F733E50"/>
    <w:rsid w:val="635B7F41"/>
    <w:rsid w:val="63604843"/>
    <w:rsid w:val="692F59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kern w:val="2"/>
      <w:sz w:val="21"/>
      <w:lang w:val="en-US" w:eastAsia="zh-CN" w:bidi="ar-SA"/>
    </w:rPr>
  </w:style>
  <w:style w:type="character" w:default="1" w:styleId="7">
    <w:name w:val="Default Paragraph Font"/>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8">
    <w:name w:val="page number"/>
    <w:basedOn w:val="7"/>
    <w:uiPriority w:val="0"/>
  </w:style>
  <w:style w:type="paragraph" w:customStyle="1" w:styleId="9">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xw\AppData\Local\Temp\BNZ.64901b348a6db6de\Normal.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Normal.wpt</Template>
  <Pages>16</Pages>
  <Words>2033</Words>
  <Characters>2307</Characters>
  <Lines>24</Lines>
  <Paragraphs>6</Paragraphs>
  <TotalTime>3</TotalTime>
  <ScaleCrop>false</ScaleCrop>
  <LinksUpToDate>false</LinksUpToDate>
  <CharactersWithSpaces>2420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2011-09-13T03:13:00Z</dcterms:created>
  <dc:creator>hushuping</dc:creator>
  <cp:lastModifiedBy>朱建阳</cp:lastModifiedBy>
  <dcterms:modified xsi:type="dcterms:W3CDTF">2023-06-19T10:05:52Z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B8E4CABD3A7A460CB5AC1B3D094408FF_13</vt:lpwstr>
  </property>
</Properties>
</file>