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sz w:val="30"/>
          <w:szCs w:val="30"/>
          <w:lang w:val="en-US" w:eastAsia="zh-CN"/>
        </w:rPr>
      </w:pPr>
    </w:p>
    <w:p>
      <w:pPr>
        <w:spacing w:line="600" w:lineRule="exact"/>
        <w:jc w:val="center"/>
        <w:rPr>
          <w:rFonts w:hint="eastAsia" w:ascii="方正小标宋简体" w:hAnsi="方正小标宋简体" w:eastAsia="方正小标宋简体" w:cs="方正小标宋简体"/>
          <w:b w:val="0"/>
          <w:bCs w:val="0"/>
          <w:sz w:val="44"/>
          <w:szCs w:val="36"/>
        </w:rPr>
      </w:pPr>
      <w:r>
        <w:rPr>
          <w:rFonts w:hint="eastAsia" w:ascii="方正小标宋简体" w:hAnsi="方正小标宋简体" w:eastAsia="方正小标宋简体" w:cs="方正小标宋简体"/>
          <w:b w:val="0"/>
          <w:bCs w:val="0"/>
          <w:sz w:val="44"/>
          <w:szCs w:val="36"/>
          <w:lang w:val="en-US" w:eastAsia="zh-CN"/>
        </w:rPr>
        <w:t>兴国县统计局</w:t>
      </w:r>
      <w:r>
        <w:rPr>
          <w:rFonts w:hint="eastAsia" w:ascii="方正小标宋简体" w:hAnsi="方正小标宋简体" w:eastAsia="方正小标宋简体" w:cs="方正小标宋简体"/>
          <w:b w:val="0"/>
          <w:bCs w:val="0"/>
          <w:sz w:val="44"/>
          <w:szCs w:val="36"/>
        </w:rPr>
        <w:t>202</w:t>
      </w:r>
      <w:r>
        <w:rPr>
          <w:rFonts w:hint="eastAsia" w:ascii="方正小标宋简体" w:hAnsi="方正小标宋简体" w:eastAsia="方正小标宋简体" w:cs="方正小标宋简体"/>
          <w:b w:val="0"/>
          <w:bCs w:val="0"/>
          <w:sz w:val="44"/>
          <w:szCs w:val="36"/>
          <w:lang w:val="en-US" w:eastAsia="zh-CN"/>
        </w:rPr>
        <w:t>1</w:t>
      </w:r>
      <w:r>
        <w:rPr>
          <w:rFonts w:hint="eastAsia" w:ascii="方正小标宋简体" w:hAnsi="方正小标宋简体" w:eastAsia="方正小标宋简体" w:cs="方正小标宋简体"/>
          <w:b w:val="0"/>
          <w:bCs w:val="0"/>
          <w:sz w:val="44"/>
          <w:szCs w:val="36"/>
        </w:rPr>
        <w:t>年度部门决算</w:t>
      </w:r>
    </w:p>
    <w:p>
      <w:pPr>
        <w:spacing w:line="600" w:lineRule="exact"/>
        <w:jc w:val="center"/>
        <w:rPr>
          <w:rFonts w:hint="eastAsia" w:ascii="黑体" w:eastAsia="黑体"/>
          <w:sz w:val="44"/>
          <w:szCs w:val="36"/>
          <w:lang w:eastAsia="zh-CN"/>
        </w:rPr>
      </w:pPr>
    </w:p>
    <w:p>
      <w:pPr>
        <w:spacing w:line="600" w:lineRule="exact"/>
        <w:jc w:val="center"/>
        <w:rPr>
          <w:rFonts w:hint="eastAsia" w:ascii="方正小标宋简体" w:hAnsi="方正小标宋简体" w:eastAsia="方正小标宋简体" w:cs="方正小标宋简体"/>
          <w:b w:val="0"/>
          <w:bCs w:val="0"/>
          <w:sz w:val="40"/>
          <w:szCs w:val="36"/>
        </w:rPr>
      </w:pPr>
      <w:r>
        <w:rPr>
          <w:rFonts w:hint="eastAsia" w:ascii="方正小标宋简体" w:hAnsi="方正小标宋简体" w:eastAsia="方正小标宋简体" w:cs="方正小标宋简体"/>
          <w:b w:val="0"/>
          <w:bCs w:val="0"/>
          <w:sz w:val="40"/>
          <w:szCs w:val="36"/>
        </w:rPr>
        <w:t>目    录</w:t>
      </w: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b/>
          <w:sz w:val="32"/>
          <w:szCs w:val="32"/>
          <w:lang w:val="en-US" w:eastAsia="zh-CN"/>
        </w:rPr>
        <w:t>兴国县统计局</w:t>
      </w:r>
      <w:r>
        <w:rPr>
          <w:rFonts w:hint="eastAsia" w:ascii="黑体" w:hAnsi="黑体" w:eastAsia="黑体"/>
          <w:b/>
          <w:sz w:val="32"/>
          <w:szCs w:val="32"/>
        </w:rPr>
        <w:t>概况</w:t>
      </w:r>
    </w:p>
    <w:p>
      <w:pPr>
        <w:widowControl/>
        <w:spacing w:line="600" w:lineRule="exact"/>
        <w:ind w:firstLine="640"/>
        <w:jc w:val="left"/>
        <w:rPr>
          <w:rFonts w:hint="eastAsia" w:ascii="仿宋_GB2312" w:hAnsi="仿宋_GB2312" w:eastAsia="仿宋_GB2312"/>
          <w:sz w:val="32"/>
          <w:szCs w:val="30"/>
        </w:rPr>
      </w:pPr>
      <w:r>
        <w:rPr>
          <w:rFonts w:hint="eastAsia" w:ascii="仿宋_GB2312" w:eastAsia="仿宋_GB2312"/>
          <w:b/>
          <w:sz w:val="32"/>
          <w:szCs w:val="30"/>
        </w:rPr>
        <w:t xml:space="preserve">    </w:t>
      </w:r>
      <w:r>
        <w:rPr>
          <w:rFonts w:hint="eastAsia" w:ascii="仿宋_GB2312" w:hAnsi="仿宋_GB2312" w:eastAsia="仿宋_GB2312"/>
          <w:sz w:val="32"/>
          <w:szCs w:val="30"/>
        </w:rPr>
        <w:t>一、部门主要职责</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202</w:t>
      </w:r>
      <w:r>
        <w:rPr>
          <w:rFonts w:hint="eastAsia" w:ascii="黑体" w:hAnsi="黑体" w:eastAsia="黑体"/>
          <w:sz w:val="32"/>
          <w:szCs w:val="32"/>
          <w:lang w:val="en-US" w:eastAsia="zh-CN"/>
        </w:rPr>
        <w:t>1</w:t>
      </w:r>
      <w:r>
        <w:rPr>
          <w:rFonts w:hint="eastAsia" w:ascii="黑体" w:hAnsi="黑体" w:eastAsia="黑体"/>
          <w:sz w:val="32"/>
          <w:szCs w:val="32"/>
        </w:rPr>
        <w:t>年度部门决算表</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三、支出决算表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四、财政拨款收入支出决算总表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五、一般公共预算财政拨款支出决算表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六、一般公共预算财政拨款基本支出决算表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七、一般公共预算财政拨款“三公”经费支出决算</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表</w:t>
      </w:r>
    </w:p>
    <w:p>
      <w:pPr>
        <w:widowControl/>
        <w:numPr>
          <w:ilvl w:val="0"/>
          <w:numId w:val="1"/>
        </w:numPr>
        <w:spacing w:line="600" w:lineRule="exact"/>
        <w:ind w:left="1280" w:leftChars="0" w:firstLine="0" w:firstLineChars="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政府性基金预算财政拨款收入支出决算表</w:t>
      </w:r>
    </w:p>
    <w:p>
      <w:pPr>
        <w:widowControl/>
        <w:numPr>
          <w:ilvl w:val="0"/>
          <w:numId w:val="1"/>
        </w:numPr>
        <w:spacing w:line="600" w:lineRule="exact"/>
        <w:ind w:left="1280" w:leftChars="0" w:firstLine="0" w:firstLineChars="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lang w:val="en-US" w:eastAsia="zh-CN"/>
        </w:rPr>
        <w:t>国有资本经营预算财政拨款支出决算表</w:t>
      </w:r>
    </w:p>
    <w:p>
      <w:pPr>
        <w:widowControl/>
        <w:spacing w:line="600" w:lineRule="exact"/>
        <w:ind w:firstLine="640"/>
        <w:jc w:val="left"/>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 xml:space="preserve">    </w:t>
      </w:r>
      <w:r>
        <w:rPr>
          <w:rFonts w:hint="eastAsia" w:ascii="仿宋_GB2312" w:hAnsi="仿宋_GB2312" w:eastAsia="仿宋_GB2312" w:cs="宋体"/>
          <w:kern w:val="0"/>
          <w:sz w:val="32"/>
          <w:szCs w:val="32"/>
          <w:lang w:val="en-US" w:eastAsia="zh-CN"/>
        </w:rPr>
        <w:t>十</w:t>
      </w:r>
      <w:r>
        <w:rPr>
          <w:rFonts w:hint="eastAsia" w:ascii="仿宋_GB2312" w:hAnsi="仿宋_GB2312" w:eastAsia="仿宋_GB2312"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w:t>
      </w:r>
      <w:r>
        <w:rPr>
          <w:rFonts w:hint="eastAsia" w:ascii="黑体" w:hAnsi="黑体" w:eastAsia="黑体"/>
          <w:sz w:val="32"/>
          <w:szCs w:val="32"/>
          <w:lang w:val="en-US" w:eastAsia="zh-CN"/>
        </w:rPr>
        <w:t>1</w:t>
      </w:r>
      <w:r>
        <w:rPr>
          <w:rFonts w:hint="eastAsia" w:ascii="黑体" w:hAnsi="黑体" w:eastAsia="黑体"/>
          <w:sz w:val="32"/>
          <w:szCs w:val="32"/>
        </w:rPr>
        <w:t>年度部门决算情况说明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五、一般公共预算财政拨款“三公”经费支出决算</w:t>
      </w:r>
    </w:p>
    <w:p>
      <w:pPr>
        <w:widowControl/>
        <w:spacing w:line="600" w:lineRule="exact"/>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情况说明</w:t>
      </w:r>
    </w:p>
    <w:p>
      <w:pPr>
        <w:widowControl/>
        <w:spacing w:line="600" w:lineRule="exact"/>
        <w:ind w:firstLine="1280" w:firstLineChars="400"/>
        <w:jc w:val="left"/>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七、政府采购支出情况说明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八、国有资产占用情况说明</w:t>
      </w:r>
    </w:p>
    <w:p>
      <w:pPr>
        <w:widowControl/>
        <w:spacing w:line="600" w:lineRule="exact"/>
        <w:ind w:firstLine="640"/>
        <w:jc w:val="left"/>
        <w:rPr>
          <w:rFonts w:hint="eastAsia" w:ascii="仿宋_GB2312" w:hAnsi="仿宋_GB2312" w:eastAsia="仿宋_GB2312"/>
          <w:sz w:val="32"/>
          <w:szCs w:val="30"/>
        </w:rPr>
      </w:pPr>
      <w:r>
        <w:rPr>
          <w:rFonts w:hint="eastAsia" w:ascii="仿宋_GB2312" w:hAnsi="仿宋_GB2312" w:eastAsia="仿宋_GB2312"/>
          <w:sz w:val="32"/>
          <w:szCs w:val="30"/>
        </w:rPr>
        <w:t xml:space="preserve">    九、预算绩效情况说明</w:t>
      </w:r>
    </w:p>
    <w:p>
      <w:pPr>
        <w:widowControl/>
        <w:spacing w:line="600" w:lineRule="exact"/>
        <w:ind w:firstLine="640"/>
        <w:jc w:val="left"/>
        <w:rPr>
          <w:rFonts w:ascii="仿宋_GB2312" w:hAnsi="仿宋_GB2312" w:eastAsia="仿宋_GB2312"/>
          <w:sz w:val="32"/>
          <w:szCs w:val="30"/>
        </w:rPr>
      </w:pPr>
      <w:r>
        <w:rPr>
          <w:rFonts w:hint="eastAsia" w:ascii="黑体" w:hAnsi="黑体" w:eastAsia="黑体"/>
          <w:sz w:val="32"/>
          <w:szCs w:val="32"/>
        </w:rPr>
        <w:t>第四部分  名词解释</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仿宋_GB2312" w:eastAsia="仿宋_GB2312"/>
          <w:sz w:val="32"/>
          <w:szCs w:val="30"/>
        </w:rPr>
      </w:pPr>
    </w:p>
    <w:p>
      <w:pPr>
        <w:widowControl/>
        <w:spacing w:line="58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 xml:space="preserve">第一部分 </w:t>
      </w:r>
      <w:r>
        <w:rPr>
          <w:rFonts w:hint="eastAsia" w:ascii="方正小标宋简体" w:hAnsi="方正小标宋简体" w:eastAsia="方正小标宋简体" w:cs="方正小标宋简体"/>
          <w:b w:val="0"/>
          <w:bCs/>
          <w:sz w:val="44"/>
          <w:szCs w:val="44"/>
          <w:lang w:eastAsia="zh-CN"/>
        </w:rPr>
        <w:t>兴国县统计局</w:t>
      </w:r>
      <w:r>
        <w:rPr>
          <w:rFonts w:hint="eastAsia" w:ascii="方正小标宋简体" w:hAnsi="方正小标宋简体" w:eastAsia="方正小标宋简体" w:cs="方正小标宋简体"/>
          <w:b w:val="0"/>
          <w:bCs/>
          <w:sz w:val="44"/>
          <w:szCs w:val="44"/>
        </w:rPr>
        <w:t>部门概况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ind w:firstLine="630"/>
        <w:jc w:val="left"/>
        <w:rPr>
          <w:rFonts w:hint="eastAsia" w:ascii="仿宋" w:hAnsi="仿宋" w:eastAsia="仿宋"/>
          <w:sz w:val="30"/>
          <w:szCs w:val="30"/>
        </w:rPr>
      </w:pPr>
      <w:r>
        <w:rPr>
          <w:rFonts w:hint="eastAsia" w:ascii="仿宋" w:hAnsi="仿宋" w:eastAsia="仿宋"/>
          <w:sz w:val="30"/>
          <w:szCs w:val="30"/>
        </w:rPr>
        <w:t>（一）承担组织领导和协调全县统计工作,确保统计数据真实、准确、及时的责任。贯彻执行国家制订的国民经济核算体系、统计指标体系、统计调查体系;贯彻执行国家和省市制订的统计报表制度和统计标准;制定全县统计工作规定和规划, 指导全县统计工作。</w:t>
      </w:r>
    </w:p>
    <w:p>
      <w:pPr>
        <w:ind w:firstLine="630"/>
        <w:jc w:val="left"/>
        <w:rPr>
          <w:rFonts w:hint="eastAsia" w:ascii="仿宋" w:hAnsi="仿宋" w:eastAsia="仿宋"/>
          <w:sz w:val="30"/>
          <w:szCs w:val="30"/>
        </w:rPr>
      </w:pPr>
      <w:r>
        <w:rPr>
          <w:rFonts w:hint="eastAsia" w:ascii="仿宋" w:hAnsi="仿宋" w:eastAsia="仿宋"/>
          <w:sz w:val="30"/>
          <w:szCs w:val="30"/>
        </w:rPr>
        <w:t>（二）组织实施全县国民经济核算制度和投入产出调查,核算全县地区生产总值,汇编提供国民经济核算资料。组织宣传、贯彻统计法律、法规,监督检查统计法律、法规的实施,查处重大的统计违纪违法案件。</w:t>
      </w:r>
    </w:p>
    <w:p>
      <w:pPr>
        <w:ind w:firstLine="630"/>
        <w:jc w:val="left"/>
        <w:rPr>
          <w:rFonts w:hint="eastAsia" w:ascii="仿宋" w:hAnsi="仿宋" w:eastAsia="仿宋"/>
          <w:sz w:val="30"/>
          <w:szCs w:val="30"/>
        </w:rPr>
      </w:pPr>
      <w:r>
        <w:rPr>
          <w:rFonts w:hint="eastAsia" w:ascii="仿宋" w:hAnsi="仿宋" w:eastAsia="仿宋"/>
          <w:sz w:val="30"/>
          <w:szCs w:val="30"/>
        </w:rPr>
        <w:t>（三）在县政府的统一领导下，会同有关部门组织实施国务院统一布置的人口、经济、农业等重大国情国力普查；汇总、整理和提供有关国情国力方面的统计数据；负责组织协调各乡镇区、各部门的统计调查、社会经济调查、社会监测；审查各乡镇区、各部门统计调查计划、调查方案；负责全县统计报表的管理工作。</w:t>
      </w:r>
    </w:p>
    <w:p>
      <w:pPr>
        <w:ind w:firstLine="630"/>
        <w:jc w:val="left"/>
        <w:rPr>
          <w:rFonts w:hint="eastAsia" w:ascii="仿宋" w:hAnsi="仿宋" w:eastAsia="仿宋"/>
          <w:sz w:val="30"/>
          <w:szCs w:val="30"/>
        </w:rPr>
      </w:pPr>
      <w:r>
        <w:rPr>
          <w:rFonts w:hint="eastAsia" w:ascii="仿宋" w:hAnsi="仿宋" w:eastAsia="仿宋"/>
          <w:sz w:val="30"/>
          <w:szCs w:val="30"/>
        </w:rPr>
        <w:t>（四）组织实施农林牧渔业、工业、建筑业、批发和零售业、住宿和餐饮业、房地产业、租赁和商务服务业、居民服务和其他服务业、文化体育和娱乐业以及装卸搬运和其他运输服务业、仓储业、计算机服务业、软件业、科技交流和推广服务业、社会福利业等统计调查,收集、汇总、整理和提供有关调查的统计数据,综合整理和提供教育、卫生、社会保障、公用事业等全县性基本统计数据。</w:t>
      </w:r>
    </w:p>
    <w:p>
      <w:pPr>
        <w:ind w:firstLine="630"/>
        <w:jc w:val="left"/>
        <w:rPr>
          <w:rFonts w:hint="eastAsia" w:ascii="仿宋" w:hAnsi="仿宋" w:eastAsia="仿宋"/>
          <w:sz w:val="30"/>
          <w:szCs w:val="30"/>
        </w:rPr>
      </w:pPr>
      <w:r>
        <w:rPr>
          <w:rFonts w:hint="eastAsia" w:ascii="仿宋" w:hAnsi="仿宋" w:eastAsia="仿宋"/>
          <w:sz w:val="30"/>
          <w:szCs w:val="30"/>
        </w:rPr>
        <w:t>（五）组织实施能源、投资、消费、收入、科技、人口、社会发展基本情况等统计调查,收集、汇总、整理和提供有关调查的统计数据, 综合整理和提供资源、房屋、对外贸易、对外经济等全县性基本统计数据。</w:t>
      </w:r>
    </w:p>
    <w:p>
      <w:pPr>
        <w:ind w:firstLine="630"/>
        <w:jc w:val="left"/>
        <w:rPr>
          <w:rFonts w:hint="eastAsia" w:ascii="仿宋" w:hAnsi="仿宋" w:eastAsia="仿宋"/>
          <w:sz w:val="30"/>
          <w:szCs w:val="30"/>
        </w:rPr>
      </w:pPr>
      <w:r>
        <w:rPr>
          <w:rFonts w:hint="eastAsia" w:ascii="仿宋" w:hAnsi="仿宋" w:eastAsia="仿宋"/>
          <w:sz w:val="30"/>
          <w:szCs w:val="30"/>
        </w:rPr>
        <w:t>（六）组织各乡镇区、各部门的经济、社会、科技和资源环境统计调查, 统一核定、管理、公布全县性基本统计资料, 定期发布全县国民经济和社会发展情况的统计信息,组织建立服务业统计信息共享制度和发布制度。</w:t>
      </w:r>
    </w:p>
    <w:p>
      <w:pPr>
        <w:ind w:firstLine="630"/>
        <w:jc w:val="left"/>
        <w:rPr>
          <w:rFonts w:hint="eastAsia" w:ascii="仿宋" w:hAnsi="仿宋" w:eastAsia="仿宋"/>
          <w:sz w:val="30"/>
          <w:szCs w:val="30"/>
        </w:rPr>
      </w:pPr>
      <w:r>
        <w:rPr>
          <w:rFonts w:hint="eastAsia" w:ascii="仿宋" w:hAnsi="仿宋" w:eastAsia="仿宋"/>
          <w:sz w:val="30"/>
          <w:szCs w:val="30"/>
        </w:rPr>
        <w:t>（七）对国民经济、社会发展、科技进步和资源环境等情况进行统计分析、统计预测和统计监督, 向县委、县政府及有关部门提供统计信息和咨询建议。</w:t>
      </w:r>
    </w:p>
    <w:p>
      <w:pPr>
        <w:ind w:firstLine="630"/>
        <w:jc w:val="left"/>
        <w:rPr>
          <w:rFonts w:hint="eastAsia" w:ascii="仿宋" w:hAnsi="仿宋" w:eastAsia="仿宋"/>
          <w:sz w:val="30"/>
          <w:szCs w:val="30"/>
        </w:rPr>
      </w:pPr>
      <w:r>
        <w:rPr>
          <w:rFonts w:hint="eastAsia" w:ascii="仿宋" w:hAnsi="仿宋" w:eastAsia="仿宋"/>
          <w:sz w:val="30"/>
          <w:szCs w:val="30"/>
        </w:rPr>
        <w:t>（八）依法指导各部门统计调查项目、地方统计调查项目, 抓好专业统计基础工作、统计基层业务基础建设,组织建立服务业统计信息管理制度,建立健全统计数据质量审核、监控和评估制度, 开展对重要统计数据的审核、监控和评估, 依法监督管理涉外调查活动。</w:t>
      </w:r>
    </w:p>
    <w:p>
      <w:pPr>
        <w:ind w:firstLine="630"/>
        <w:jc w:val="left"/>
        <w:rPr>
          <w:rFonts w:hint="eastAsia" w:ascii="仿宋" w:hAnsi="仿宋" w:eastAsia="仿宋"/>
          <w:sz w:val="30"/>
          <w:szCs w:val="30"/>
        </w:rPr>
      </w:pPr>
      <w:r>
        <w:rPr>
          <w:rFonts w:hint="eastAsia" w:ascii="仿宋" w:hAnsi="仿宋" w:eastAsia="仿宋"/>
          <w:sz w:val="30"/>
          <w:szCs w:val="30"/>
        </w:rPr>
        <w:t>（九）协助各乡镇区管理统计工作人员;管理统计信息咨询服务中心、普查中心。</w:t>
      </w:r>
    </w:p>
    <w:p>
      <w:pPr>
        <w:ind w:firstLine="630"/>
        <w:jc w:val="left"/>
        <w:rPr>
          <w:rFonts w:hint="eastAsia" w:ascii="仿宋" w:hAnsi="仿宋" w:eastAsia="仿宋"/>
          <w:sz w:val="30"/>
          <w:szCs w:val="30"/>
        </w:rPr>
      </w:pPr>
      <w:r>
        <w:rPr>
          <w:rFonts w:hint="eastAsia" w:ascii="仿宋" w:hAnsi="仿宋" w:eastAsia="仿宋"/>
          <w:sz w:val="30"/>
          <w:szCs w:val="30"/>
        </w:rPr>
        <w:t>（十）组织实施全县统计科学研究、统计教育培训，会同有关部门组织统计专业技术职务评聘工作。</w:t>
      </w:r>
    </w:p>
    <w:p>
      <w:pPr>
        <w:pStyle w:val="4"/>
        <w:spacing w:before="0" w:beforeAutospacing="0" w:after="0" w:afterAutospacing="0" w:line="600" w:lineRule="exact"/>
        <w:ind w:firstLine="602" w:firstLineChars="200"/>
        <w:jc w:val="both"/>
        <w:rPr>
          <w:rFonts w:ascii="仿宋_GB2312" w:hAnsi="仿宋" w:eastAsia="仿宋_GB2312"/>
          <w:b w:val="0"/>
          <w:kern w:val="2"/>
          <w:sz w:val="32"/>
          <w:szCs w:val="32"/>
        </w:rPr>
      </w:pPr>
      <w:r>
        <w:rPr>
          <w:rFonts w:hint="eastAsia" w:ascii="仿宋" w:hAnsi="仿宋" w:eastAsia="仿宋"/>
          <w:sz w:val="30"/>
          <w:szCs w:val="30"/>
        </w:rPr>
        <w:t>（十一）</w:t>
      </w:r>
      <w:r>
        <w:rPr>
          <w:rFonts w:hint="eastAsia" w:ascii="仿宋" w:hAnsi="仿宋" w:eastAsia="仿宋"/>
          <w:b w:val="0"/>
          <w:bCs w:val="0"/>
          <w:sz w:val="30"/>
          <w:szCs w:val="30"/>
        </w:rPr>
        <w:t>完成县委、县政府和上级统计部门交办的其它</w:t>
      </w:r>
      <w:r>
        <w:rPr>
          <w:rFonts w:hint="eastAsia" w:ascii="仿宋_GB2312" w:hAnsi="仿宋" w:eastAsia="仿宋_GB2312"/>
          <w:b w:val="0"/>
          <w:kern w:val="2"/>
          <w:sz w:val="32"/>
          <w:szCs w:val="32"/>
        </w:rPr>
        <w:t>工作任务。</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30"/>
        <w:jc w:val="left"/>
        <w:rPr>
          <w:rFonts w:hint="eastAsia" w:ascii="仿宋" w:hAnsi="仿宋" w:eastAsia="仿宋"/>
          <w:color w:val="000000"/>
          <w:sz w:val="32"/>
          <w:szCs w:val="32"/>
        </w:rPr>
      </w:pPr>
      <w:r>
        <w:rPr>
          <w:rFonts w:hint="eastAsia" w:ascii="仿宋" w:hAnsi="仿宋" w:eastAsia="仿宋"/>
          <w:sz w:val="30"/>
          <w:szCs w:val="30"/>
        </w:rPr>
        <w:t xml:space="preserve">纳入本套部门决算汇编范围的单位共 </w:t>
      </w:r>
      <w:r>
        <w:rPr>
          <w:rFonts w:hint="eastAsia" w:ascii="仿宋" w:hAnsi="仿宋" w:eastAsia="仿宋"/>
          <w:sz w:val="30"/>
          <w:szCs w:val="30"/>
          <w:lang w:val="en-US" w:eastAsia="zh-CN"/>
        </w:rPr>
        <w:t>1</w:t>
      </w:r>
      <w:r>
        <w:rPr>
          <w:rFonts w:hint="eastAsia" w:ascii="仿宋" w:hAnsi="仿宋" w:eastAsia="仿宋"/>
          <w:sz w:val="30"/>
          <w:szCs w:val="30"/>
        </w:rPr>
        <w:t xml:space="preserve"> 个，包括：</w:t>
      </w:r>
      <w:r>
        <w:rPr>
          <w:rFonts w:hint="eastAsia" w:ascii="仿宋" w:hAnsi="仿宋" w:eastAsia="仿宋"/>
          <w:sz w:val="30"/>
          <w:szCs w:val="30"/>
          <w:lang w:eastAsia="zh-CN"/>
        </w:rPr>
        <w:t>兴国县统计局机关。</w:t>
      </w:r>
      <w:r>
        <w:rPr>
          <w:rFonts w:hint="eastAsia" w:ascii="仿宋" w:hAnsi="仿宋" w:eastAsia="仿宋"/>
          <w:color w:val="000000"/>
          <w:sz w:val="32"/>
          <w:szCs w:val="32"/>
        </w:rPr>
        <w:t>兴国县统计局</w:t>
      </w:r>
      <w:r>
        <w:rPr>
          <w:rFonts w:hint="eastAsia" w:ascii="仿宋" w:hAnsi="仿宋" w:eastAsia="仿宋"/>
          <w:color w:val="000000"/>
          <w:sz w:val="32"/>
          <w:szCs w:val="32"/>
          <w:lang w:eastAsia="zh-CN"/>
        </w:rPr>
        <w:t>机关</w:t>
      </w:r>
      <w:r>
        <w:rPr>
          <w:rFonts w:hint="eastAsia" w:ascii="仿宋" w:hAnsi="仿宋" w:eastAsia="仿宋"/>
          <w:color w:val="000000"/>
          <w:sz w:val="32"/>
          <w:szCs w:val="32"/>
        </w:rPr>
        <w:t>有下设单位</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个</w:t>
      </w:r>
      <w:r>
        <w:rPr>
          <w:rFonts w:hint="eastAsia" w:ascii="仿宋" w:hAnsi="仿宋" w:eastAsia="仿宋"/>
          <w:color w:val="000000"/>
          <w:sz w:val="32"/>
          <w:szCs w:val="32"/>
          <w:shd w:val="clear" w:color="auto" w:fill="FFFFFF"/>
        </w:rPr>
        <w:t>兴国统计</w:t>
      </w:r>
      <w:r>
        <w:rPr>
          <w:rFonts w:hint="eastAsia" w:ascii="仿宋" w:hAnsi="仿宋" w:eastAsia="仿宋"/>
          <w:color w:val="000000"/>
          <w:sz w:val="32"/>
          <w:szCs w:val="32"/>
          <w:shd w:val="clear" w:color="auto" w:fill="FFFFFF"/>
          <w:lang w:eastAsia="zh-CN"/>
        </w:rPr>
        <w:t>普查</w:t>
      </w:r>
      <w:r>
        <w:rPr>
          <w:rFonts w:hint="eastAsia" w:ascii="仿宋" w:hAnsi="仿宋" w:eastAsia="仿宋"/>
          <w:color w:val="000000"/>
          <w:sz w:val="32"/>
          <w:szCs w:val="32"/>
          <w:shd w:val="clear" w:color="auto" w:fill="FFFFFF"/>
        </w:rPr>
        <w:t>中心</w:t>
      </w:r>
      <w:r>
        <w:rPr>
          <w:rFonts w:hint="eastAsia" w:ascii="仿宋" w:hAnsi="仿宋" w:eastAsia="仿宋"/>
          <w:color w:val="000000"/>
          <w:sz w:val="32"/>
          <w:szCs w:val="32"/>
        </w:rPr>
        <w:t>（非独立核算），</w:t>
      </w:r>
      <w:r>
        <w:rPr>
          <w:rFonts w:hint="eastAsia" w:ascii="仿宋" w:hAnsi="仿宋" w:eastAsia="仿宋"/>
          <w:color w:val="000000"/>
          <w:sz w:val="32"/>
          <w:szCs w:val="32"/>
          <w:shd w:val="clear" w:color="auto" w:fill="FFFFFF"/>
        </w:rPr>
        <w:t>为统计局内设机构</w:t>
      </w:r>
      <w:r>
        <w:rPr>
          <w:rFonts w:hint="eastAsia" w:ascii="仿宋" w:hAnsi="仿宋" w:eastAsia="仿宋"/>
          <w:color w:val="000000"/>
          <w:sz w:val="32"/>
          <w:szCs w:val="32"/>
          <w:shd w:val="clear" w:color="auto" w:fill="FFFFFF"/>
          <w:lang w:eastAsia="zh-CN"/>
        </w:rPr>
        <w:t>。</w:t>
      </w:r>
      <w:r>
        <w:rPr>
          <w:rFonts w:hint="eastAsia" w:ascii="仿宋" w:hAnsi="仿宋" w:eastAsia="仿宋"/>
          <w:color w:val="000000"/>
          <w:sz w:val="32"/>
          <w:szCs w:val="32"/>
        </w:rPr>
        <w:t>兴国县统计局总编制</w:t>
      </w:r>
      <w:r>
        <w:rPr>
          <w:rFonts w:hint="eastAsia" w:ascii="仿宋" w:hAnsi="仿宋" w:eastAsia="仿宋"/>
          <w:color w:val="000000"/>
          <w:sz w:val="32"/>
          <w:szCs w:val="32"/>
          <w:lang w:val="en-US" w:eastAsia="zh-CN"/>
        </w:rPr>
        <w:t>21</w:t>
      </w:r>
      <w:r>
        <w:rPr>
          <w:rFonts w:hint="eastAsia" w:ascii="仿宋" w:hAnsi="仿宋" w:eastAsia="仿宋"/>
          <w:color w:val="000000"/>
          <w:sz w:val="32"/>
          <w:szCs w:val="32"/>
        </w:rPr>
        <w:t>人（含统计普查中心）其中：行政编制</w:t>
      </w:r>
      <w:r>
        <w:rPr>
          <w:rFonts w:hint="eastAsia" w:ascii="仿宋" w:hAnsi="仿宋" w:eastAsia="仿宋"/>
          <w:color w:val="000000"/>
          <w:sz w:val="32"/>
          <w:szCs w:val="32"/>
          <w:lang w:val="en-US" w:eastAsia="zh-CN"/>
        </w:rPr>
        <w:t>8</w:t>
      </w:r>
      <w:r>
        <w:rPr>
          <w:rFonts w:hint="eastAsia" w:ascii="仿宋" w:hAnsi="仿宋" w:eastAsia="仿宋"/>
          <w:color w:val="000000"/>
          <w:sz w:val="32"/>
          <w:szCs w:val="32"/>
        </w:rPr>
        <w:t>人、事业编制1</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人。</w:t>
      </w:r>
    </w:p>
    <w:p>
      <w:pPr>
        <w:ind w:firstLine="630"/>
        <w:jc w:val="left"/>
        <w:rPr>
          <w:rFonts w:hint="eastAsia" w:ascii="仿宋_GB2312" w:hAnsi="仿宋_GB2312" w:eastAsia="仿宋_GB2312"/>
          <w:color w:val="auto"/>
          <w:sz w:val="30"/>
          <w:szCs w:val="30"/>
          <w:lang w:eastAsia="zh-CN"/>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年年末实有人数</w:t>
      </w:r>
      <w:r>
        <w:rPr>
          <w:rFonts w:hint="eastAsia" w:ascii="仿宋_GB2312" w:hAnsi="仿宋_GB2312" w:eastAsia="仿宋_GB2312"/>
          <w:sz w:val="30"/>
          <w:szCs w:val="30"/>
          <w:lang w:val="en-US" w:eastAsia="zh-CN"/>
        </w:rPr>
        <w:t>22</w:t>
      </w:r>
      <w:r>
        <w:rPr>
          <w:rFonts w:hint="eastAsia" w:ascii="仿宋_GB2312" w:hAnsi="仿宋_GB2312" w:eastAsia="仿宋_GB2312"/>
          <w:sz w:val="30"/>
          <w:szCs w:val="30"/>
        </w:rPr>
        <w:t>人，其中在职人员</w:t>
      </w:r>
      <w:r>
        <w:rPr>
          <w:rFonts w:hint="eastAsia" w:ascii="仿宋_GB2312" w:hAnsi="仿宋_GB2312" w:eastAsia="仿宋_GB2312"/>
          <w:sz w:val="30"/>
          <w:szCs w:val="30"/>
          <w:lang w:val="en-US" w:eastAsia="zh-CN"/>
        </w:rPr>
        <w:t>17</w:t>
      </w:r>
      <w:r>
        <w:rPr>
          <w:rFonts w:hint="eastAsia" w:ascii="仿宋_GB2312" w:hAnsi="仿宋_GB2312" w:eastAsia="仿宋_GB2312"/>
          <w:sz w:val="30"/>
          <w:szCs w:val="30"/>
        </w:rPr>
        <w:t>人，离休人员</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人，退休人员</w:t>
      </w:r>
      <w:r>
        <w:rPr>
          <w:rFonts w:hint="eastAsia" w:ascii="仿宋_GB2312" w:hAnsi="仿宋_GB2312" w:eastAsia="仿宋_GB2312"/>
          <w:sz w:val="30"/>
          <w:szCs w:val="30"/>
          <w:lang w:val="en-US" w:eastAsia="zh-CN"/>
        </w:rPr>
        <w:t>0</w:t>
      </w:r>
      <w:r>
        <w:rPr>
          <w:rFonts w:hint="eastAsia" w:ascii="仿宋_GB2312" w:hAnsi="仿宋_GB2312" w:eastAsia="仿宋_GB2312"/>
          <w:color w:val="auto"/>
          <w:sz w:val="30"/>
          <w:szCs w:val="30"/>
        </w:rPr>
        <w:t>人</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lang w:val="en-US" w:eastAsia="zh-CN"/>
        </w:rPr>
        <w:t>不含</w:t>
      </w:r>
      <w:r>
        <w:rPr>
          <w:rFonts w:hint="eastAsia" w:ascii="仿宋_GB2312" w:hAnsi="仿宋_GB2312" w:eastAsia="仿宋_GB2312"/>
          <w:color w:val="auto"/>
          <w:sz w:val="30"/>
          <w:szCs w:val="30"/>
        </w:rPr>
        <w:t>由养老保险基金发放养老金的离退休人员</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rPr>
        <w:t>；年末其他人员</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人；年末学生人数</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人</w:t>
      </w:r>
      <w:r>
        <w:rPr>
          <w:rFonts w:hint="eastAsia" w:ascii="仿宋_GB2312" w:hAnsi="仿宋_GB2312" w:eastAsia="仿宋_GB2312"/>
          <w:color w:val="auto"/>
          <w:sz w:val="30"/>
          <w:szCs w:val="30"/>
          <w:lang w:val="en-US" w:eastAsia="zh-CN"/>
        </w:rPr>
        <w:t>；</w:t>
      </w:r>
      <w:r>
        <w:rPr>
          <w:rFonts w:hint="eastAsia" w:ascii="仿宋_GB2312" w:hAnsi="仿宋_GB2312" w:eastAsia="仿宋_GB2312"/>
          <w:color w:val="auto"/>
          <w:sz w:val="30"/>
          <w:szCs w:val="30"/>
        </w:rPr>
        <w:t>由养老保险基金发放养老金的离退休人员</w:t>
      </w:r>
      <w:r>
        <w:rPr>
          <w:rFonts w:hint="eastAsia" w:ascii="仿宋_GB2312" w:hAnsi="仿宋_GB2312" w:eastAsia="仿宋_GB2312"/>
          <w:color w:val="auto"/>
          <w:sz w:val="30"/>
          <w:szCs w:val="30"/>
          <w:lang w:val="en-US" w:eastAsia="zh-CN"/>
        </w:rPr>
        <w:t>5</w:t>
      </w:r>
      <w:r>
        <w:rPr>
          <w:rFonts w:hint="eastAsia" w:ascii="仿宋_GB2312" w:hAnsi="仿宋_GB2312" w:eastAsia="仿宋_GB2312"/>
          <w:color w:val="auto"/>
          <w:sz w:val="30"/>
          <w:szCs w:val="30"/>
        </w:rPr>
        <w:t>人</w:t>
      </w:r>
      <w:r>
        <w:rPr>
          <w:rFonts w:hint="eastAsia" w:ascii="仿宋_GB2312" w:hAnsi="仿宋_GB2312" w:eastAsia="仿宋_GB2312"/>
          <w:color w:val="auto"/>
          <w:sz w:val="30"/>
          <w:szCs w:val="30"/>
          <w:lang w:eastAsia="zh-CN"/>
        </w:rPr>
        <w:t>。</w:t>
      </w:r>
    </w:p>
    <w:p>
      <w:pPr>
        <w:ind w:firstLine="630"/>
        <w:jc w:val="left"/>
        <w:rPr>
          <w:rFonts w:hint="eastAsia" w:ascii="仿宋_GB2312" w:hAnsi="仿宋_GB2312" w:eastAsia="仿宋_GB2312"/>
          <w:sz w:val="30"/>
          <w:szCs w:val="30"/>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numPr>
          <w:ilvl w:val="0"/>
          <w:numId w:val="2"/>
        </w:num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 xml:space="preserve"> 202</w:t>
      </w:r>
      <w:r>
        <w:rPr>
          <w:rFonts w:hint="eastAsia" w:ascii="方正小标宋简体" w:hAnsi="方正小标宋简体" w:eastAsia="方正小标宋简体" w:cs="方正小标宋简体"/>
          <w:b w:val="0"/>
          <w:bCs/>
          <w:sz w:val="44"/>
          <w:szCs w:val="44"/>
          <w:lang w:val="en-US" w:eastAsia="zh-CN"/>
        </w:rPr>
        <w:t>1</w:t>
      </w:r>
      <w:r>
        <w:rPr>
          <w:rFonts w:hint="eastAsia" w:ascii="方正小标宋简体" w:hAnsi="方正小标宋简体" w:eastAsia="方正小标宋简体" w:cs="方正小标宋简体"/>
          <w:b w:val="0"/>
          <w:bCs/>
          <w:sz w:val="44"/>
          <w:szCs w:val="44"/>
        </w:rPr>
        <w:t>年度部门决算表</w:t>
      </w:r>
    </w:p>
    <w:p>
      <w:pPr>
        <w:numPr>
          <w:ilvl w:val="0"/>
          <w:numId w:val="0"/>
        </w:numPr>
        <w:jc w:val="both"/>
      </w:pPr>
      <w:r>
        <w:drawing>
          <wp:inline distT="0" distB="0" distL="114300" distR="114300">
            <wp:extent cx="5271770" cy="4415790"/>
            <wp:effectExtent l="0" t="0" r="5080" b="381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4"/>
                    <a:stretch>
                      <a:fillRect/>
                    </a:stretch>
                  </pic:blipFill>
                  <pic:spPr>
                    <a:xfrm>
                      <a:off x="0" y="0"/>
                      <a:ext cx="5271770" cy="4415790"/>
                    </a:xfrm>
                    <a:prstGeom prst="rect">
                      <a:avLst/>
                    </a:prstGeom>
                    <a:noFill/>
                    <a:ln>
                      <a:noFill/>
                    </a:ln>
                  </pic:spPr>
                </pic:pic>
              </a:graphicData>
            </a:graphic>
          </wp:inline>
        </w:drawing>
      </w:r>
    </w:p>
    <w:p>
      <w:pPr>
        <w:pStyle w:val="2"/>
      </w:pPr>
    </w:p>
    <w:p>
      <w:pPr>
        <w:pStyle w:val="2"/>
      </w:pPr>
    </w:p>
    <w:p>
      <w:pPr>
        <w:pStyle w:val="2"/>
      </w:pPr>
      <w:r>
        <w:drawing>
          <wp:inline distT="0" distB="0" distL="114300" distR="114300">
            <wp:extent cx="5269230" cy="2222500"/>
            <wp:effectExtent l="0" t="0" r="7620" b="635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5"/>
                    <a:stretch>
                      <a:fillRect/>
                    </a:stretch>
                  </pic:blipFill>
                  <pic:spPr>
                    <a:xfrm>
                      <a:off x="0" y="0"/>
                      <a:ext cx="5269230" cy="2222500"/>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pStyle w:val="2"/>
      </w:pPr>
    </w:p>
    <w:p>
      <w:pPr>
        <w:pStyle w:val="2"/>
        <w:ind w:left="0" w:leftChars="0" w:firstLine="0" w:firstLineChars="0"/>
      </w:pPr>
    </w:p>
    <w:p>
      <w:pPr>
        <w:numPr>
          <w:ilvl w:val="0"/>
          <w:numId w:val="0"/>
        </w:numPr>
        <w:jc w:val="both"/>
      </w:pPr>
      <w:r>
        <w:drawing>
          <wp:inline distT="0" distB="0" distL="114300" distR="114300">
            <wp:extent cx="5267325" cy="2723515"/>
            <wp:effectExtent l="0" t="0" r="9525" b="635"/>
            <wp:docPr id="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pic:cNvPicPr>
                      <a:picLocks noChangeAspect="1"/>
                    </pic:cNvPicPr>
                  </pic:nvPicPr>
                  <pic:blipFill>
                    <a:blip r:embed="rId6"/>
                    <a:stretch>
                      <a:fillRect/>
                    </a:stretch>
                  </pic:blipFill>
                  <pic:spPr>
                    <a:xfrm>
                      <a:off x="0" y="0"/>
                      <a:ext cx="5267325" cy="2723515"/>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numPr>
          <w:ilvl w:val="0"/>
          <w:numId w:val="0"/>
        </w:numPr>
        <w:jc w:val="both"/>
      </w:pPr>
      <w:r>
        <w:drawing>
          <wp:inline distT="0" distB="0" distL="114300" distR="114300">
            <wp:extent cx="5269230" cy="3635375"/>
            <wp:effectExtent l="0" t="0" r="7620" b="3175"/>
            <wp:docPr id="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pic:cNvPicPr>
                      <a:picLocks noChangeAspect="1"/>
                    </pic:cNvPicPr>
                  </pic:nvPicPr>
                  <pic:blipFill>
                    <a:blip r:embed="rId7"/>
                    <a:stretch>
                      <a:fillRect/>
                    </a:stretch>
                  </pic:blipFill>
                  <pic:spPr>
                    <a:xfrm>
                      <a:off x="0" y="0"/>
                      <a:ext cx="5269230" cy="3635375"/>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pStyle w:val="2"/>
        <w:ind w:left="0" w:leftChars="0" w:firstLine="0" w:firstLineChars="0"/>
      </w:pPr>
    </w:p>
    <w:p>
      <w:pPr>
        <w:pStyle w:val="2"/>
      </w:pPr>
    </w:p>
    <w:p>
      <w:pPr>
        <w:pStyle w:val="2"/>
      </w:pPr>
    </w:p>
    <w:p>
      <w:pPr>
        <w:pStyle w:val="2"/>
      </w:pPr>
      <w:r>
        <w:drawing>
          <wp:inline distT="0" distB="0" distL="114300" distR="114300">
            <wp:extent cx="5274310" cy="3898265"/>
            <wp:effectExtent l="0" t="0" r="2540" b="6985"/>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pic:cNvPicPr>
                      <a:picLocks noChangeAspect="1"/>
                    </pic:cNvPicPr>
                  </pic:nvPicPr>
                  <pic:blipFill>
                    <a:blip r:embed="rId8"/>
                    <a:stretch>
                      <a:fillRect/>
                    </a:stretch>
                  </pic:blipFill>
                  <pic:spPr>
                    <a:xfrm>
                      <a:off x="0" y="0"/>
                      <a:ext cx="5274310" cy="3898265"/>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pStyle w:val="2"/>
      </w:pPr>
      <w:r>
        <w:drawing>
          <wp:inline distT="0" distB="0" distL="114300" distR="114300">
            <wp:extent cx="5271135" cy="6647815"/>
            <wp:effectExtent l="0" t="0" r="5715" b="635"/>
            <wp:docPr id="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pic:cNvPicPr>
                      <a:picLocks noChangeAspect="1"/>
                    </pic:cNvPicPr>
                  </pic:nvPicPr>
                  <pic:blipFill>
                    <a:blip r:embed="rId9"/>
                    <a:stretch>
                      <a:fillRect/>
                    </a:stretch>
                  </pic:blipFill>
                  <pic:spPr>
                    <a:xfrm>
                      <a:off x="0" y="0"/>
                      <a:ext cx="5271135" cy="6647815"/>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r>
        <w:drawing>
          <wp:inline distT="0" distB="0" distL="114300" distR="114300">
            <wp:extent cx="5271770" cy="3774440"/>
            <wp:effectExtent l="0" t="0" r="1270" b="5080"/>
            <wp:docPr id="2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1"/>
                    </pic:cNvPicPr>
                  </pic:nvPicPr>
                  <pic:blipFill>
                    <a:blip r:embed="rId10"/>
                    <a:stretch>
                      <a:fillRect/>
                    </a:stretch>
                  </pic:blipFill>
                  <pic:spPr>
                    <a:xfrm>
                      <a:off x="0" y="0"/>
                      <a:ext cx="5271770" cy="3774440"/>
                    </a:xfrm>
                    <a:prstGeom prst="rect">
                      <a:avLst/>
                    </a:prstGeom>
                    <a:noFill/>
                    <a:ln>
                      <a:noFill/>
                    </a:ln>
                  </pic:spPr>
                </pic:pic>
              </a:graphicData>
            </a:graphic>
          </wp:inline>
        </w:drawing>
      </w: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p>
    <w:p>
      <w:pPr>
        <w:numPr>
          <w:ilvl w:val="0"/>
          <w:numId w:val="0"/>
        </w:numPr>
        <w:jc w:val="both"/>
      </w:pPr>
      <w:r>
        <w:drawing>
          <wp:inline distT="0" distB="0" distL="114300" distR="114300">
            <wp:extent cx="5266690" cy="1989455"/>
            <wp:effectExtent l="0" t="0" r="6350" b="6985"/>
            <wp:docPr id="2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pic:cNvPicPr>
                      <a:picLocks noChangeAspect="1"/>
                    </pic:cNvPicPr>
                  </pic:nvPicPr>
                  <pic:blipFill>
                    <a:blip r:embed="rId11"/>
                    <a:stretch>
                      <a:fillRect/>
                    </a:stretch>
                  </pic:blipFill>
                  <pic:spPr>
                    <a:xfrm>
                      <a:off x="0" y="0"/>
                      <a:ext cx="5266690" cy="1989455"/>
                    </a:xfrm>
                    <a:prstGeom prst="rect">
                      <a:avLst/>
                    </a:prstGeom>
                    <a:noFill/>
                    <a:ln>
                      <a:noFill/>
                    </a:ln>
                  </pic:spPr>
                </pic:pic>
              </a:graphicData>
            </a:graphic>
          </wp:inline>
        </w:drawing>
      </w:r>
    </w:p>
    <w:p>
      <w:pPr>
        <w:numPr>
          <w:ilvl w:val="0"/>
          <w:numId w:val="0"/>
        </w:numPr>
        <w:jc w:val="both"/>
      </w:pPr>
      <w:r>
        <w:drawing>
          <wp:inline distT="0" distB="0" distL="114300" distR="114300">
            <wp:extent cx="5189220" cy="2941320"/>
            <wp:effectExtent l="0" t="0" r="7620" b="0"/>
            <wp:docPr id="2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pic:cNvPicPr>
                      <a:picLocks noChangeAspect="1"/>
                    </pic:cNvPicPr>
                  </pic:nvPicPr>
                  <pic:blipFill>
                    <a:blip r:embed="rId12"/>
                    <a:stretch>
                      <a:fillRect/>
                    </a:stretch>
                  </pic:blipFill>
                  <pic:spPr>
                    <a:xfrm>
                      <a:off x="0" y="0"/>
                      <a:ext cx="5189220" cy="2941320"/>
                    </a:xfrm>
                    <a:prstGeom prst="rect">
                      <a:avLst/>
                    </a:prstGeom>
                    <a:noFill/>
                    <a:ln>
                      <a:noFill/>
                    </a:ln>
                  </pic:spPr>
                </pic:pic>
              </a:graphicData>
            </a:graphic>
          </wp:inline>
        </w:drawing>
      </w:r>
    </w:p>
    <w:p>
      <w:pPr>
        <w:numPr>
          <w:ilvl w:val="0"/>
          <w:numId w:val="0"/>
        </w:numPr>
        <w:jc w:val="both"/>
      </w:pPr>
    </w:p>
    <w:p>
      <w:pPr>
        <w:numPr>
          <w:ilvl w:val="0"/>
          <w:numId w:val="0"/>
        </w:numPr>
        <w:jc w:val="both"/>
      </w:pPr>
      <w:r>
        <w:drawing>
          <wp:inline distT="0" distB="0" distL="114300" distR="114300">
            <wp:extent cx="5274310" cy="3324225"/>
            <wp:effectExtent l="0" t="0" r="13970" b="13335"/>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pic:cNvPicPr>
                      <a:picLocks noChangeAspect="1"/>
                    </pic:cNvPicPr>
                  </pic:nvPicPr>
                  <pic:blipFill>
                    <a:blip r:embed="rId13"/>
                    <a:stretch>
                      <a:fillRect/>
                    </a:stretch>
                  </pic:blipFill>
                  <pic:spPr>
                    <a:xfrm>
                      <a:off x="0" y="0"/>
                      <a:ext cx="5274310" cy="3324225"/>
                    </a:xfrm>
                    <a:prstGeom prst="rect">
                      <a:avLst/>
                    </a:prstGeom>
                    <a:noFill/>
                    <a:ln>
                      <a:noFill/>
                    </a:ln>
                  </pic:spPr>
                </pic:pic>
              </a:graphicData>
            </a:graphic>
          </wp:inline>
        </w:drawing>
      </w: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第三部分  202</w:t>
      </w:r>
      <w:r>
        <w:rPr>
          <w:rFonts w:hint="eastAsia" w:ascii="方正小标宋简体" w:hAnsi="方正小标宋简体" w:eastAsia="方正小标宋简体" w:cs="方正小标宋简体"/>
          <w:b w:val="0"/>
          <w:bCs/>
          <w:sz w:val="44"/>
          <w:szCs w:val="44"/>
          <w:lang w:val="en-US" w:eastAsia="zh-CN"/>
        </w:rPr>
        <w:t>1</w:t>
      </w:r>
      <w:r>
        <w:rPr>
          <w:rFonts w:hint="eastAsia" w:ascii="方正小标宋简体" w:hAnsi="方正小标宋简体" w:eastAsia="方正小标宋简体" w:cs="方正小标宋简体"/>
          <w:b w:val="0"/>
          <w:bCs/>
          <w:sz w:val="44"/>
          <w:szCs w:val="44"/>
        </w:rPr>
        <w:t>年度部门决算情况说明</w:t>
      </w:r>
    </w:p>
    <w:p>
      <w:pPr>
        <w:ind w:firstLine="630"/>
        <w:jc w:val="left"/>
        <w:rPr>
          <w:rFonts w:hint="eastAsia" w:ascii="仿宋_GB2312" w:hAnsi="仿宋_GB2312" w:eastAsia="仿宋_GB2312"/>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_GB2312" w:hAnsi="仿宋_GB2312" w:eastAsia="仿宋"/>
          <w:sz w:val="30"/>
          <w:szCs w:val="30"/>
          <w:lang w:val="en-US" w:eastAsia="zh-CN"/>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年度收入总计</w:t>
      </w:r>
      <w:r>
        <w:rPr>
          <w:rFonts w:hint="eastAsia" w:ascii="仿宋_GB2312" w:hAnsi="仿宋_GB2312" w:eastAsia="仿宋_GB2312"/>
          <w:sz w:val="30"/>
          <w:szCs w:val="30"/>
          <w:lang w:val="en-US" w:eastAsia="zh-CN"/>
        </w:rPr>
        <w:t>456.21</w:t>
      </w:r>
      <w:r>
        <w:rPr>
          <w:rFonts w:hint="eastAsia" w:ascii="仿宋_GB2312" w:hAnsi="仿宋_GB2312" w:eastAsia="仿宋_GB2312"/>
          <w:sz w:val="30"/>
          <w:szCs w:val="30"/>
        </w:rPr>
        <w:t>万元，其中年初结转和结余</w:t>
      </w:r>
      <w:r>
        <w:rPr>
          <w:rFonts w:hint="eastAsia" w:ascii="仿宋_GB2312" w:hAnsi="仿宋_GB2312" w:eastAsia="仿宋_GB2312"/>
          <w:sz w:val="30"/>
          <w:szCs w:val="30"/>
          <w:lang w:val="en-US" w:eastAsia="zh-CN"/>
        </w:rPr>
        <w:t>161.66</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128.38</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385.76</w:t>
      </w:r>
      <w:r>
        <w:rPr>
          <w:rFonts w:hint="eastAsia" w:ascii="仿宋_GB2312" w:hAnsi="仿宋_GB2312" w:eastAsia="仿宋_GB2312"/>
          <w:sz w:val="30"/>
          <w:szCs w:val="30"/>
        </w:rPr>
        <w:t>%；本年收入合计</w:t>
      </w:r>
      <w:r>
        <w:rPr>
          <w:rFonts w:hint="eastAsia" w:ascii="仿宋_GB2312" w:hAnsi="仿宋_GB2312" w:eastAsia="仿宋_GB2312"/>
          <w:sz w:val="30"/>
          <w:szCs w:val="30"/>
          <w:lang w:val="en-US" w:eastAsia="zh-CN"/>
        </w:rPr>
        <w:t>294.55</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37.14</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14.43</w:t>
      </w:r>
      <w:r>
        <w:rPr>
          <w:rFonts w:hint="eastAsia" w:ascii="仿宋_GB2312" w:hAnsi="仿宋_GB2312" w:eastAsia="仿宋_GB2312"/>
          <w:sz w:val="30"/>
          <w:szCs w:val="30"/>
        </w:rPr>
        <w:t>%，主要原因是：</w:t>
      </w:r>
      <w:r>
        <w:rPr>
          <w:rFonts w:ascii="仿宋" w:hAnsi="仿宋" w:eastAsia="仿宋" w:cs="宋体"/>
          <w:color w:val="000000"/>
          <w:kern w:val="0"/>
          <w:sz w:val="32"/>
          <w:szCs w:val="32"/>
        </w:rPr>
        <w:t>20</w:t>
      </w:r>
      <w:r>
        <w:rPr>
          <w:rFonts w:hint="eastAsia" w:ascii="仿宋" w:hAnsi="仿宋" w:eastAsia="仿宋" w:cs="宋体"/>
          <w:color w:val="000000"/>
          <w:kern w:val="0"/>
          <w:sz w:val="32"/>
          <w:szCs w:val="32"/>
          <w:lang w:val="en-US" w:eastAsia="zh-CN"/>
        </w:rPr>
        <w:t>20</w:t>
      </w:r>
      <w:r>
        <w:rPr>
          <w:rFonts w:ascii="仿宋" w:hAnsi="仿宋" w:eastAsia="仿宋" w:cs="宋体"/>
          <w:color w:val="000000"/>
          <w:kern w:val="0"/>
          <w:sz w:val="32"/>
          <w:szCs w:val="32"/>
        </w:rPr>
        <w:t>年是第</w:t>
      </w:r>
      <w:r>
        <w:rPr>
          <w:rFonts w:hint="eastAsia" w:ascii="仿宋" w:hAnsi="仿宋" w:eastAsia="仿宋" w:cs="宋体"/>
          <w:color w:val="000000"/>
          <w:kern w:val="0"/>
          <w:sz w:val="32"/>
          <w:szCs w:val="32"/>
          <w:lang w:eastAsia="zh-CN"/>
        </w:rPr>
        <w:t>七</w:t>
      </w:r>
      <w:r>
        <w:rPr>
          <w:rFonts w:ascii="仿宋" w:hAnsi="仿宋" w:eastAsia="仿宋" w:cs="宋体"/>
          <w:color w:val="000000"/>
          <w:kern w:val="0"/>
          <w:sz w:val="32"/>
          <w:szCs w:val="32"/>
        </w:rPr>
        <w:t>次全国</w:t>
      </w:r>
      <w:r>
        <w:rPr>
          <w:rFonts w:hint="eastAsia" w:ascii="仿宋" w:hAnsi="仿宋" w:eastAsia="仿宋" w:cs="宋体"/>
          <w:color w:val="000000"/>
          <w:kern w:val="0"/>
          <w:sz w:val="32"/>
          <w:szCs w:val="32"/>
          <w:lang w:eastAsia="zh-CN"/>
        </w:rPr>
        <w:t>人口</w:t>
      </w:r>
      <w:r>
        <w:rPr>
          <w:rFonts w:ascii="仿宋" w:hAnsi="仿宋" w:eastAsia="仿宋" w:cs="宋体"/>
          <w:color w:val="000000"/>
          <w:kern w:val="0"/>
          <w:sz w:val="32"/>
          <w:szCs w:val="32"/>
        </w:rPr>
        <w:t>普查正式普查实施年份</w:t>
      </w:r>
      <w:r>
        <w:rPr>
          <w:rFonts w:hint="eastAsia" w:ascii="仿宋" w:hAnsi="仿宋" w:eastAsia="仿宋" w:cs="宋体"/>
          <w:color w:val="000000"/>
          <w:kern w:val="0"/>
          <w:sz w:val="32"/>
          <w:szCs w:val="32"/>
        </w:rPr>
        <w:t>,当年列入预算的经费较多</w:t>
      </w:r>
      <w:r>
        <w:rPr>
          <w:rFonts w:hint="eastAsia" w:ascii="仿宋" w:hAnsi="仿宋" w:eastAsia="仿宋" w:cs="宋体"/>
          <w:color w:val="000000"/>
          <w:kern w:val="0"/>
          <w:sz w:val="32"/>
          <w:szCs w:val="32"/>
          <w:lang w:eastAsia="zh-CN"/>
        </w:rPr>
        <w:t>，未及时报账列支，导致</w:t>
      </w:r>
      <w:r>
        <w:rPr>
          <w:rFonts w:hint="eastAsia" w:ascii="仿宋_GB2312" w:hAnsi="仿宋_GB2312" w:eastAsia="仿宋_GB2312"/>
          <w:sz w:val="30"/>
          <w:szCs w:val="30"/>
        </w:rPr>
        <w:t>年初结转和结余增长</w:t>
      </w:r>
      <w:r>
        <w:rPr>
          <w:rFonts w:hint="eastAsia" w:ascii="仿宋_GB2312" w:hAnsi="仿宋_GB2312" w:eastAsia="仿宋_GB2312"/>
          <w:sz w:val="30"/>
          <w:szCs w:val="30"/>
          <w:lang w:eastAsia="zh-CN"/>
        </w:rPr>
        <w:t>较大，</w:t>
      </w:r>
      <w:r>
        <w:rPr>
          <w:rFonts w:hint="eastAsia" w:ascii="仿宋_GB2312" w:hAnsi="仿宋_GB2312" w:eastAsia="仿宋_GB2312"/>
          <w:sz w:val="30"/>
          <w:szCs w:val="30"/>
          <w:lang w:val="en-US" w:eastAsia="zh-CN"/>
        </w:rPr>
        <w:t>2021年</w:t>
      </w:r>
      <w:r>
        <w:rPr>
          <w:rFonts w:ascii="仿宋" w:hAnsi="仿宋" w:eastAsia="仿宋" w:cs="宋体"/>
          <w:color w:val="000000"/>
          <w:kern w:val="0"/>
          <w:sz w:val="32"/>
          <w:szCs w:val="32"/>
        </w:rPr>
        <w:t>是第</w:t>
      </w:r>
      <w:r>
        <w:rPr>
          <w:rFonts w:hint="eastAsia" w:ascii="仿宋" w:hAnsi="仿宋" w:eastAsia="仿宋" w:cs="宋体"/>
          <w:color w:val="000000"/>
          <w:kern w:val="0"/>
          <w:sz w:val="32"/>
          <w:szCs w:val="32"/>
          <w:lang w:eastAsia="zh-CN"/>
        </w:rPr>
        <w:t>七</w:t>
      </w:r>
      <w:r>
        <w:rPr>
          <w:rFonts w:ascii="仿宋" w:hAnsi="仿宋" w:eastAsia="仿宋" w:cs="宋体"/>
          <w:color w:val="000000"/>
          <w:kern w:val="0"/>
          <w:sz w:val="32"/>
          <w:szCs w:val="32"/>
        </w:rPr>
        <w:t>次全国</w:t>
      </w:r>
      <w:r>
        <w:rPr>
          <w:rFonts w:hint="eastAsia" w:ascii="仿宋" w:hAnsi="仿宋" w:eastAsia="仿宋" w:cs="宋体"/>
          <w:color w:val="000000"/>
          <w:kern w:val="0"/>
          <w:sz w:val="32"/>
          <w:szCs w:val="32"/>
          <w:lang w:eastAsia="zh-CN"/>
        </w:rPr>
        <w:t>人口</w:t>
      </w:r>
      <w:r>
        <w:rPr>
          <w:rFonts w:ascii="仿宋" w:hAnsi="仿宋" w:eastAsia="仿宋" w:cs="宋体"/>
          <w:color w:val="000000"/>
          <w:kern w:val="0"/>
          <w:sz w:val="32"/>
          <w:szCs w:val="32"/>
        </w:rPr>
        <w:t>普查正式普查实施</w:t>
      </w:r>
      <w:r>
        <w:rPr>
          <w:rFonts w:hint="eastAsia" w:ascii="仿宋" w:hAnsi="仿宋" w:eastAsia="仿宋" w:cs="宋体"/>
          <w:color w:val="000000"/>
          <w:kern w:val="0"/>
          <w:sz w:val="32"/>
          <w:szCs w:val="32"/>
          <w:lang w:eastAsia="zh-CN"/>
        </w:rPr>
        <w:t>第二</w:t>
      </w:r>
      <w:r>
        <w:rPr>
          <w:rFonts w:ascii="仿宋" w:hAnsi="仿宋" w:eastAsia="仿宋" w:cs="宋体"/>
          <w:color w:val="000000"/>
          <w:kern w:val="0"/>
          <w:sz w:val="32"/>
          <w:szCs w:val="32"/>
        </w:rPr>
        <w:t>年</w:t>
      </w: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rPr>
        <w:t>当年列入预算的经费</w:t>
      </w:r>
      <w:r>
        <w:rPr>
          <w:rFonts w:hint="eastAsia" w:ascii="仿宋" w:hAnsi="仿宋" w:eastAsia="仿宋" w:cs="宋体"/>
          <w:color w:val="000000"/>
          <w:kern w:val="0"/>
          <w:sz w:val="32"/>
          <w:szCs w:val="32"/>
          <w:lang w:eastAsia="zh-CN"/>
        </w:rPr>
        <w:t>比平常年份较多。</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本年收入的具体构成为：财政拨款收</w:t>
      </w:r>
      <w:r>
        <w:rPr>
          <w:rFonts w:hint="eastAsia" w:ascii="仿宋_GB2312" w:hAnsi="仿宋_GB2312" w:eastAsia="仿宋_GB2312"/>
          <w:sz w:val="30"/>
          <w:szCs w:val="30"/>
          <w:lang w:val="en-US" w:eastAsia="zh-CN"/>
        </w:rPr>
        <w:t>入294.55</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left="298" w:leftChars="142" w:firstLine="600" w:firstLineChars="200"/>
        <w:jc w:val="left"/>
        <w:rPr>
          <w:rFonts w:hint="eastAsia" w:ascii="仿宋_GB2312" w:hAnsi="仿宋_GB2312" w:eastAsia="仿宋_GB2312"/>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年度支出总计</w:t>
      </w:r>
      <w:r>
        <w:rPr>
          <w:rFonts w:hint="eastAsia" w:ascii="仿宋_GB2312" w:hAnsi="仿宋_GB2312" w:eastAsia="仿宋_GB2312"/>
          <w:sz w:val="30"/>
          <w:szCs w:val="30"/>
          <w:lang w:val="en-US" w:eastAsia="zh-CN"/>
        </w:rPr>
        <w:t>456.21</w:t>
      </w:r>
      <w:r>
        <w:rPr>
          <w:rFonts w:hint="eastAsia" w:ascii="仿宋_GB2312" w:hAnsi="仿宋_GB2312" w:eastAsia="仿宋_GB2312"/>
          <w:sz w:val="30"/>
          <w:szCs w:val="30"/>
        </w:rPr>
        <w:t>万元，其中本年支出合计</w:t>
      </w:r>
      <w:r>
        <w:rPr>
          <w:rFonts w:hint="eastAsia" w:ascii="仿宋_GB2312" w:hAnsi="仿宋_GB2312" w:eastAsia="仿宋_GB2312"/>
          <w:sz w:val="30"/>
          <w:szCs w:val="30"/>
          <w:lang w:val="en-US" w:eastAsia="zh-CN"/>
        </w:rPr>
        <w:t>456.21</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327.18</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253.56</w:t>
      </w:r>
      <w:r>
        <w:rPr>
          <w:rFonts w:hint="eastAsia" w:ascii="仿宋_GB2312" w:hAnsi="仿宋_GB2312" w:eastAsia="仿宋_GB2312"/>
          <w:sz w:val="30"/>
          <w:szCs w:val="30"/>
        </w:rPr>
        <w:t>%，主要原因是：</w:t>
      </w:r>
      <w:r>
        <w:rPr>
          <w:rFonts w:hint="eastAsia" w:ascii="仿宋" w:hAnsi="仿宋" w:eastAsia="仿宋"/>
          <w:sz w:val="30"/>
          <w:szCs w:val="30"/>
          <w:lang w:val="en-US" w:eastAsia="zh-CN"/>
        </w:rPr>
        <w:t>2020年度第七次全国人口普查资金当年未全部列支，大部分资金结转至2021年度支付，存在跨年支付情况</w:t>
      </w:r>
      <w:r>
        <w:rPr>
          <w:rFonts w:hint="eastAsia" w:ascii="仿宋_GB2312" w:hAnsi="仿宋_GB2312" w:eastAsia="仿宋_GB2312"/>
          <w:sz w:val="30"/>
          <w:szCs w:val="30"/>
        </w:rPr>
        <w:t>；年末结转和结余</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年减少</w:t>
      </w:r>
      <w:r>
        <w:rPr>
          <w:rFonts w:hint="eastAsia" w:ascii="仿宋_GB2312" w:hAnsi="仿宋_GB2312" w:eastAsia="仿宋_GB2312"/>
          <w:sz w:val="30"/>
          <w:szCs w:val="30"/>
          <w:lang w:val="en-US" w:eastAsia="zh-CN"/>
        </w:rPr>
        <w:t>161.66</w:t>
      </w:r>
      <w:r>
        <w:rPr>
          <w:rFonts w:hint="eastAsia" w:ascii="仿宋_GB2312" w:hAnsi="仿宋_GB2312" w:eastAsia="仿宋_GB2312"/>
          <w:sz w:val="30"/>
          <w:szCs w:val="30"/>
        </w:rPr>
        <w:t>万元，下降</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%，主要原因是：</w:t>
      </w:r>
      <w:r>
        <w:rPr>
          <w:rFonts w:hint="eastAsia" w:ascii="仿宋_GB2312" w:hAnsi="仿宋_GB2312" w:eastAsia="仿宋_GB2312"/>
          <w:sz w:val="32"/>
          <w:szCs w:val="32"/>
          <w:lang w:eastAsia="zh-CN"/>
        </w:rPr>
        <w:t>提高了预算执行度，年未清理结余结转资金</w:t>
      </w:r>
      <w:r>
        <w:rPr>
          <w:rFonts w:hint="eastAsia" w:ascii="仿宋_GB2312" w:hAnsi="仿宋_GB2312" w:eastAsia="仿宋_GB2312"/>
          <w:sz w:val="32"/>
          <w:szCs w:val="32"/>
        </w:rPr>
        <w:t>。</w:t>
      </w:r>
    </w:p>
    <w:p>
      <w:pPr>
        <w:ind w:firstLine="630"/>
        <w:jc w:val="left"/>
        <w:rPr>
          <w:rFonts w:hint="eastAsia" w:ascii="仿宋_GB2312" w:hAnsi="仿宋_GB2312" w:eastAsia="仿宋_GB2312"/>
          <w:sz w:val="30"/>
          <w:szCs w:val="30"/>
          <w:lang w:val="en-US" w:eastAsia="zh-CN"/>
        </w:rPr>
      </w:pPr>
      <w:r>
        <w:rPr>
          <w:rFonts w:hint="eastAsia" w:ascii="仿宋_GB2312" w:hAnsi="仿宋_GB2312" w:eastAsia="仿宋_GB2312"/>
          <w:sz w:val="30"/>
          <w:szCs w:val="30"/>
        </w:rPr>
        <w:t>本年支出的具体构成为：基本支出</w:t>
      </w:r>
      <w:r>
        <w:rPr>
          <w:rFonts w:hint="eastAsia" w:ascii="仿宋_GB2312" w:hAnsi="仿宋_GB2312" w:eastAsia="仿宋_GB2312"/>
          <w:sz w:val="30"/>
          <w:szCs w:val="30"/>
          <w:lang w:val="en-US" w:eastAsia="zh-CN"/>
        </w:rPr>
        <w:t>227.05</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49.77</w:t>
      </w:r>
      <w:r>
        <w:rPr>
          <w:rFonts w:hint="eastAsia" w:ascii="仿宋_GB2312" w:hAnsi="仿宋_GB2312" w:eastAsia="仿宋_GB2312"/>
          <w:sz w:val="30"/>
          <w:szCs w:val="30"/>
        </w:rPr>
        <w:t>%；项目支</w:t>
      </w:r>
      <w:r>
        <w:rPr>
          <w:rFonts w:hint="eastAsia" w:ascii="仿宋_GB2312" w:hAnsi="仿宋_GB2312" w:eastAsia="仿宋_GB2312"/>
          <w:sz w:val="30"/>
          <w:szCs w:val="30"/>
          <w:lang w:val="en-US" w:eastAsia="zh-CN"/>
        </w:rPr>
        <w:t>出229.16</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50.23</w:t>
      </w:r>
      <w:r>
        <w:rPr>
          <w:rFonts w:hint="eastAsia" w:ascii="仿宋_GB2312" w:hAnsi="仿宋_GB2312" w:eastAsia="仿宋_GB2312"/>
          <w:sz w:val="30"/>
          <w:szCs w:val="30"/>
        </w:rPr>
        <w:t>%</w:t>
      </w:r>
      <w:r>
        <w:rPr>
          <w:rFonts w:hint="eastAsia" w:ascii="仿宋_GB2312" w:hAnsi="仿宋_GB2312" w:eastAsia="仿宋_GB2312"/>
          <w:sz w:val="30"/>
          <w:szCs w:val="30"/>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_GB2312" w:hAnsi="仿宋_GB2312" w:eastAsia="仿宋_GB2312"/>
          <w:color w:val="auto"/>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年度财政拨款本年支出年初预算数为</w:t>
      </w:r>
      <w:r>
        <w:rPr>
          <w:rFonts w:hint="eastAsia" w:ascii="仿宋_GB2312" w:hAnsi="仿宋_GB2312" w:eastAsia="仿宋_GB2312"/>
          <w:sz w:val="30"/>
          <w:szCs w:val="30"/>
          <w:lang w:val="en-US" w:eastAsia="zh-CN"/>
        </w:rPr>
        <w:t>369.79</w:t>
      </w:r>
      <w:r>
        <w:rPr>
          <w:rFonts w:hint="eastAsia" w:ascii="仿宋_GB2312" w:hAnsi="仿宋_GB2312" w:eastAsia="仿宋_GB2312"/>
          <w:sz w:val="30"/>
          <w:szCs w:val="30"/>
        </w:rPr>
        <w:t>万元，决算数为</w:t>
      </w:r>
      <w:r>
        <w:rPr>
          <w:rFonts w:hint="eastAsia" w:ascii="仿宋_GB2312" w:hAnsi="仿宋_GB2312" w:eastAsia="仿宋_GB2312"/>
          <w:sz w:val="30"/>
          <w:szCs w:val="30"/>
          <w:lang w:val="en-US" w:eastAsia="zh-CN"/>
        </w:rPr>
        <w:t>456.21</w:t>
      </w:r>
      <w:r>
        <w:rPr>
          <w:rFonts w:hint="eastAsia" w:ascii="仿宋_GB2312" w:hAnsi="仿宋_GB2312" w:eastAsia="仿宋_GB2312"/>
          <w:sz w:val="30"/>
          <w:szCs w:val="30"/>
        </w:rPr>
        <w:t>万</w:t>
      </w:r>
      <w:r>
        <w:rPr>
          <w:rFonts w:hint="eastAsia" w:ascii="仿宋_GB2312" w:hAnsi="仿宋_GB2312" w:eastAsia="仿宋_GB2312"/>
          <w:color w:val="auto"/>
          <w:sz w:val="30"/>
          <w:szCs w:val="30"/>
        </w:rPr>
        <w:t>元，完成年初预算的</w:t>
      </w:r>
      <w:r>
        <w:rPr>
          <w:rFonts w:hint="eastAsia" w:ascii="仿宋_GB2312" w:hAnsi="仿宋_GB2312" w:eastAsia="仿宋_GB2312"/>
          <w:color w:val="auto"/>
          <w:sz w:val="30"/>
          <w:szCs w:val="30"/>
          <w:lang w:val="en-US" w:eastAsia="zh-CN"/>
        </w:rPr>
        <w:t>123.37</w:t>
      </w:r>
      <w:r>
        <w:rPr>
          <w:rFonts w:hint="eastAsia" w:ascii="仿宋_GB2312" w:hAnsi="仿宋_GB2312" w:eastAsia="仿宋_GB2312"/>
          <w:color w:val="auto"/>
          <w:sz w:val="30"/>
          <w:szCs w:val="30"/>
        </w:rPr>
        <w:t>%。其中：</w:t>
      </w:r>
    </w:p>
    <w:p>
      <w:pPr>
        <w:ind w:firstLine="630"/>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lang w:val="en-US" w:eastAsia="zh-CN"/>
        </w:rPr>
        <w:t>（一）</w:t>
      </w:r>
      <w:r>
        <w:rPr>
          <w:rFonts w:hint="eastAsia" w:ascii="仿宋" w:hAnsi="仿宋" w:eastAsia="仿宋"/>
          <w:sz w:val="30"/>
          <w:szCs w:val="30"/>
        </w:rPr>
        <w:t>一般公共服务</w:t>
      </w:r>
      <w:r>
        <w:rPr>
          <w:rFonts w:hint="eastAsia" w:ascii="仿宋_GB2312" w:hAnsi="仿宋_GB2312" w:eastAsia="仿宋_GB2312"/>
          <w:color w:val="auto"/>
          <w:sz w:val="30"/>
          <w:szCs w:val="30"/>
          <w:lang w:val="en-US" w:eastAsia="zh-CN"/>
        </w:rPr>
        <w:t>支出</w:t>
      </w:r>
      <w:r>
        <w:rPr>
          <w:rFonts w:hint="eastAsia" w:ascii="仿宋_GB2312" w:hAnsi="仿宋_GB2312" w:eastAsia="仿宋_GB2312"/>
          <w:color w:val="auto"/>
          <w:sz w:val="30"/>
          <w:szCs w:val="30"/>
        </w:rPr>
        <w:t>年初预算数为</w:t>
      </w:r>
      <w:r>
        <w:rPr>
          <w:rFonts w:hint="eastAsia" w:ascii="仿宋_GB2312" w:hAnsi="仿宋_GB2312" w:eastAsia="仿宋_GB2312"/>
          <w:color w:val="auto"/>
          <w:sz w:val="30"/>
          <w:szCs w:val="30"/>
          <w:lang w:val="en-US" w:eastAsia="zh-CN"/>
        </w:rPr>
        <w:t>328.07</w:t>
      </w:r>
      <w:r>
        <w:rPr>
          <w:rFonts w:hint="eastAsia" w:ascii="仿宋_GB2312" w:hAnsi="仿宋_GB2312" w:eastAsia="仿宋_GB2312"/>
          <w:color w:val="auto"/>
          <w:sz w:val="30"/>
          <w:szCs w:val="30"/>
        </w:rPr>
        <w:t>万元，决算数为</w:t>
      </w:r>
      <w:r>
        <w:rPr>
          <w:rFonts w:hint="eastAsia" w:ascii="仿宋_GB2312" w:hAnsi="仿宋_GB2312" w:eastAsia="仿宋_GB2312"/>
          <w:color w:val="auto"/>
          <w:sz w:val="30"/>
          <w:szCs w:val="30"/>
          <w:lang w:val="en-US" w:eastAsia="zh-CN"/>
        </w:rPr>
        <w:t>414.49</w:t>
      </w:r>
      <w:r>
        <w:rPr>
          <w:rFonts w:hint="eastAsia" w:ascii="仿宋_GB2312" w:hAnsi="仿宋_GB2312" w:eastAsia="仿宋_GB2312"/>
          <w:color w:val="auto"/>
          <w:sz w:val="30"/>
          <w:szCs w:val="30"/>
        </w:rPr>
        <w:t>万元，完成年初预算的</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%，主要原因是：</w:t>
      </w:r>
      <w:r>
        <w:rPr>
          <w:rFonts w:hint="eastAsia" w:ascii="仿宋" w:hAnsi="仿宋" w:eastAsia="仿宋"/>
          <w:sz w:val="30"/>
          <w:szCs w:val="30"/>
          <w:lang w:val="en-US" w:eastAsia="zh-CN"/>
        </w:rPr>
        <w:t>2020年度第七次全国人口普查资金当年未全部列支，大部分资金结转至2021年度支付，存在跨年支付情况</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_GB2312" w:hAnsi="仿宋_GB2312" w:eastAsia="仿宋_GB2312" w:cs="仿宋_GB2312"/>
          <w:color w:val="auto"/>
          <w:kern w:val="0"/>
          <w:sz w:val="30"/>
          <w:szCs w:val="30"/>
          <w:lang w:eastAsia="zh-CN"/>
        </w:rPr>
        <w:t>（</w:t>
      </w:r>
      <w:r>
        <w:rPr>
          <w:rFonts w:hint="eastAsia" w:ascii="仿宋_GB2312" w:hAnsi="仿宋_GB2312" w:eastAsia="仿宋_GB2312" w:cs="仿宋_GB2312"/>
          <w:color w:val="auto"/>
          <w:kern w:val="0"/>
          <w:sz w:val="30"/>
          <w:szCs w:val="30"/>
          <w:lang w:val="en-US" w:eastAsia="zh-CN"/>
        </w:rPr>
        <w:t>二）</w:t>
      </w:r>
      <w:r>
        <w:rPr>
          <w:rFonts w:hint="eastAsia" w:ascii="仿宋" w:hAnsi="仿宋" w:eastAsia="仿宋"/>
          <w:sz w:val="30"/>
          <w:szCs w:val="30"/>
        </w:rPr>
        <w:t>社会保障和就业</w:t>
      </w:r>
      <w:r>
        <w:rPr>
          <w:rFonts w:hint="eastAsia" w:ascii="仿宋_GB2312" w:hAnsi="仿宋_GB2312" w:eastAsia="仿宋_GB2312"/>
          <w:color w:val="auto"/>
          <w:sz w:val="30"/>
          <w:szCs w:val="30"/>
          <w:lang w:val="en-US" w:eastAsia="zh-CN"/>
        </w:rPr>
        <w:t>支出</w:t>
      </w:r>
      <w:r>
        <w:rPr>
          <w:rFonts w:hint="eastAsia" w:ascii="仿宋_GB2312" w:hAnsi="仿宋_GB2312" w:eastAsia="仿宋_GB2312"/>
          <w:color w:val="auto"/>
          <w:sz w:val="30"/>
          <w:szCs w:val="30"/>
        </w:rPr>
        <w:t>年初预算数为</w:t>
      </w:r>
      <w:r>
        <w:rPr>
          <w:rFonts w:hint="eastAsia" w:ascii="仿宋_GB2312" w:hAnsi="仿宋_GB2312" w:eastAsia="仿宋_GB2312"/>
          <w:color w:val="auto"/>
          <w:sz w:val="30"/>
          <w:szCs w:val="30"/>
          <w:lang w:val="en-US" w:eastAsia="zh-CN"/>
        </w:rPr>
        <w:t>17.02</w:t>
      </w:r>
      <w:r>
        <w:rPr>
          <w:rFonts w:hint="eastAsia" w:ascii="仿宋_GB2312" w:hAnsi="仿宋_GB2312" w:eastAsia="仿宋_GB2312"/>
          <w:color w:val="auto"/>
          <w:sz w:val="30"/>
          <w:szCs w:val="30"/>
        </w:rPr>
        <w:t>万元，决算数为</w:t>
      </w:r>
      <w:r>
        <w:rPr>
          <w:rFonts w:hint="eastAsia" w:ascii="仿宋_GB2312" w:hAnsi="仿宋_GB2312" w:eastAsia="仿宋_GB2312"/>
          <w:color w:val="auto"/>
          <w:sz w:val="30"/>
          <w:szCs w:val="30"/>
          <w:lang w:val="en-US" w:eastAsia="zh-CN"/>
        </w:rPr>
        <w:t>17.02</w:t>
      </w:r>
      <w:r>
        <w:rPr>
          <w:rFonts w:hint="eastAsia" w:ascii="仿宋_GB2312" w:hAnsi="仿宋_GB2312" w:eastAsia="仿宋_GB2312"/>
          <w:color w:val="auto"/>
          <w:sz w:val="30"/>
          <w:szCs w:val="30"/>
        </w:rPr>
        <w:t>万元，完成年初预算的</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%，主要原因是：</w:t>
      </w:r>
      <w:r>
        <w:rPr>
          <w:rFonts w:hint="eastAsia" w:ascii="仿宋" w:hAnsi="仿宋" w:eastAsia="仿宋"/>
          <w:sz w:val="30"/>
          <w:szCs w:val="30"/>
        </w:rPr>
        <w:t>严格执行账务制度。</w:t>
      </w:r>
    </w:p>
    <w:p>
      <w:pPr>
        <w:ind w:firstLine="630"/>
        <w:jc w:val="left"/>
        <w:rPr>
          <w:rFonts w:hint="eastAsia" w:ascii="仿宋" w:hAnsi="仿宋" w:eastAsia="仿宋"/>
          <w:sz w:val="30"/>
          <w:szCs w:val="30"/>
          <w:lang w:eastAsia="zh-CN"/>
        </w:rPr>
      </w:pPr>
      <w:r>
        <w:rPr>
          <w:rFonts w:hint="eastAsia" w:ascii="仿宋" w:hAnsi="仿宋" w:eastAsia="仿宋"/>
          <w:sz w:val="30"/>
          <w:szCs w:val="30"/>
        </w:rPr>
        <w:t>（三）卫生健康支出年初预算数为</w:t>
      </w:r>
      <w:r>
        <w:rPr>
          <w:rFonts w:hint="eastAsia" w:ascii="仿宋" w:hAnsi="仿宋" w:eastAsia="仿宋"/>
          <w:sz w:val="30"/>
          <w:szCs w:val="30"/>
          <w:lang w:val="en-US" w:eastAsia="zh-CN"/>
        </w:rPr>
        <w:t>12.60</w:t>
      </w:r>
      <w:r>
        <w:rPr>
          <w:rFonts w:hint="eastAsia" w:ascii="仿宋" w:hAnsi="仿宋" w:eastAsia="仿宋"/>
          <w:sz w:val="30"/>
          <w:szCs w:val="30"/>
        </w:rPr>
        <w:t>万元，决算数为</w:t>
      </w:r>
      <w:r>
        <w:rPr>
          <w:rFonts w:hint="eastAsia" w:ascii="仿宋" w:hAnsi="仿宋" w:eastAsia="仿宋"/>
          <w:sz w:val="30"/>
          <w:szCs w:val="30"/>
          <w:lang w:val="en-US" w:eastAsia="zh-CN"/>
        </w:rPr>
        <w:t>12.60</w:t>
      </w:r>
      <w:r>
        <w:rPr>
          <w:rFonts w:hint="eastAsia" w:ascii="仿宋" w:hAnsi="仿宋" w:eastAsia="仿宋"/>
          <w:sz w:val="30"/>
          <w:szCs w:val="30"/>
        </w:rPr>
        <w:t>万元，完成年初预算的100%，主要原因是：严格执行账务制度</w:t>
      </w:r>
      <w:r>
        <w:rPr>
          <w:rFonts w:hint="eastAsia" w:ascii="仿宋" w:hAnsi="仿宋" w:eastAsia="仿宋"/>
          <w:sz w:val="30"/>
          <w:szCs w:val="30"/>
          <w:lang w:eastAsia="zh-CN"/>
        </w:rPr>
        <w:t>。</w:t>
      </w:r>
    </w:p>
    <w:p>
      <w:pPr>
        <w:ind w:firstLine="630"/>
        <w:jc w:val="left"/>
        <w:rPr>
          <w:rFonts w:hint="eastAsia" w:ascii="仿宋" w:hAnsi="仿宋" w:eastAsia="仿宋"/>
          <w:sz w:val="30"/>
          <w:szCs w:val="30"/>
          <w:lang w:val="en-US" w:eastAsia="zh-CN"/>
        </w:rPr>
      </w:pPr>
      <w:r>
        <w:rPr>
          <w:rFonts w:hint="eastAsia" w:ascii="仿宋" w:hAnsi="仿宋" w:eastAsia="仿宋"/>
          <w:sz w:val="30"/>
          <w:szCs w:val="30"/>
        </w:rPr>
        <w:t>（</w:t>
      </w:r>
      <w:r>
        <w:rPr>
          <w:rFonts w:hint="eastAsia" w:ascii="仿宋" w:hAnsi="仿宋" w:eastAsia="仿宋"/>
          <w:sz w:val="30"/>
          <w:szCs w:val="30"/>
          <w:lang w:eastAsia="zh-CN"/>
        </w:rPr>
        <w:t>四</w:t>
      </w:r>
      <w:r>
        <w:rPr>
          <w:rFonts w:hint="eastAsia" w:ascii="仿宋" w:hAnsi="仿宋" w:eastAsia="仿宋"/>
          <w:sz w:val="30"/>
          <w:szCs w:val="30"/>
        </w:rPr>
        <w:t>）</w:t>
      </w:r>
      <w:r>
        <w:rPr>
          <w:rFonts w:hint="eastAsia" w:ascii="仿宋" w:hAnsi="仿宋" w:eastAsia="仿宋"/>
          <w:sz w:val="30"/>
          <w:szCs w:val="30"/>
          <w:lang w:val="en-US" w:eastAsia="zh-CN"/>
        </w:rPr>
        <w:t>住房保障</w:t>
      </w:r>
      <w:r>
        <w:rPr>
          <w:rFonts w:hint="eastAsia" w:ascii="仿宋" w:hAnsi="仿宋" w:eastAsia="仿宋"/>
          <w:sz w:val="30"/>
          <w:szCs w:val="30"/>
          <w:lang w:eastAsia="zh-CN"/>
        </w:rPr>
        <w:t>支出</w:t>
      </w:r>
      <w:r>
        <w:rPr>
          <w:rFonts w:hint="eastAsia" w:ascii="仿宋" w:hAnsi="仿宋" w:eastAsia="仿宋"/>
          <w:sz w:val="30"/>
          <w:szCs w:val="30"/>
        </w:rPr>
        <w:t>年初预算数为</w:t>
      </w:r>
      <w:r>
        <w:rPr>
          <w:rFonts w:hint="eastAsia" w:ascii="仿宋" w:hAnsi="仿宋" w:eastAsia="仿宋"/>
          <w:sz w:val="30"/>
          <w:szCs w:val="30"/>
          <w:lang w:val="en-US" w:eastAsia="zh-CN"/>
        </w:rPr>
        <w:t>12.10</w:t>
      </w:r>
      <w:r>
        <w:rPr>
          <w:rFonts w:hint="eastAsia" w:ascii="仿宋" w:hAnsi="仿宋" w:eastAsia="仿宋"/>
          <w:sz w:val="30"/>
          <w:szCs w:val="30"/>
        </w:rPr>
        <w:t>万元</w:t>
      </w:r>
      <w:r>
        <w:rPr>
          <w:rFonts w:hint="eastAsia" w:ascii="仿宋" w:hAnsi="仿宋" w:eastAsia="仿宋"/>
          <w:sz w:val="30"/>
          <w:szCs w:val="30"/>
          <w:lang w:eastAsia="zh-CN"/>
        </w:rPr>
        <w:t>，</w:t>
      </w:r>
      <w:r>
        <w:rPr>
          <w:rFonts w:hint="eastAsia" w:ascii="仿宋" w:hAnsi="仿宋" w:eastAsia="仿宋"/>
          <w:sz w:val="30"/>
          <w:szCs w:val="30"/>
        </w:rPr>
        <w:t>决算数为</w:t>
      </w:r>
      <w:r>
        <w:rPr>
          <w:rFonts w:hint="eastAsia" w:ascii="仿宋" w:hAnsi="仿宋" w:eastAsia="仿宋"/>
          <w:sz w:val="30"/>
          <w:szCs w:val="30"/>
          <w:lang w:val="en-US" w:eastAsia="zh-CN"/>
        </w:rPr>
        <w:t>12.10</w:t>
      </w:r>
      <w:r>
        <w:rPr>
          <w:rFonts w:hint="eastAsia" w:ascii="仿宋" w:hAnsi="仿宋" w:eastAsia="仿宋"/>
          <w:sz w:val="30"/>
          <w:szCs w:val="30"/>
        </w:rPr>
        <w:t>万元</w:t>
      </w:r>
      <w:r>
        <w:rPr>
          <w:rFonts w:hint="eastAsia" w:ascii="仿宋" w:hAnsi="仿宋" w:eastAsia="仿宋"/>
          <w:sz w:val="30"/>
          <w:szCs w:val="30"/>
          <w:lang w:eastAsia="zh-CN"/>
        </w:rPr>
        <w:t>，</w:t>
      </w:r>
      <w:r>
        <w:rPr>
          <w:rFonts w:hint="eastAsia" w:ascii="仿宋" w:hAnsi="仿宋" w:eastAsia="仿宋"/>
          <w:sz w:val="30"/>
          <w:szCs w:val="30"/>
        </w:rPr>
        <w:t>完成年初预算的100%，主要原因是：严格执行账务制度</w:t>
      </w:r>
      <w:r>
        <w:rPr>
          <w:rFonts w:hint="eastAsia" w:ascii="仿宋" w:hAnsi="仿宋" w:eastAsia="仿宋"/>
          <w:sz w:val="30"/>
          <w:szCs w:val="30"/>
          <w:lang w:eastAsia="zh-CN"/>
        </w:rPr>
        <w:t>。</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年度一般公共预算财政拨款基本支出</w:t>
      </w:r>
      <w:r>
        <w:rPr>
          <w:rFonts w:hint="eastAsia" w:ascii="仿宋_GB2312" w:hAnsi="仿宋_GB2312" w:eastAsia="仿宋_GB2312"/>
          <w:sz w:val="30"/>
          <w:szCs w:val="30"/>
          <w:lang w:val="en-US" w:eastAsia="zh-CN"/>
        </w:rPr>
        <w:t>227.05</w:t>
      </w:r>
      <w:r>
        <w:rPr>
          <w:rFonts w:hint="eastAsia" w:ascii="仿宋_GB2312" w:hAnsi="仿宋_GB2312" w:eastAsia="仿宋_GB2312"/>
          <w:sz w:val="30"/>
          <w:szCs w:val="30"/>
        </w:rPr>
        <w:t>万元，其中：</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（一）工资福利支出</w:t>
      </w:r>
      <w:r>
        <w:rPr>
          <w:rFonts w:hint="eastAsia" w:ascii="仿宋_GB2312" w:hAnsi="仿宋_GB2312" w:eastAsia="仿宋_GB2312"/>
          <w:sz w:val="30"/>
          <w:szCs w:val="30"/>
          <w:lang w:val="en-US" w:eastAsia="zh-CN"/>
        </w:rPr>
        <w:t>211.27</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95.69</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82.79</w:t>
      </w:r>
      <w:r>
        <w:rPr>
          <w:rFonts w:hint="eastAsia" w:ascii="仿宋_GB2312" w:hAnsi="仿宋_GB2312" w:eastAsia="仿宋_GB2312"/>
          <w:sz w:val="30"/>
          <w:szCs w:val="30"/>
        </w:rPr>
        <w:t>%，主要原因是：</w:t>
      </w:r>
      <w:r>
        <w:rPr>
          <w:rFonts w:hint="eastAsia" w:ascii="仿宋_GB2312" w:hAnsi="仿宋_GB2312" w:eastAsia="仿宋_GB2312"/>
          <w:sz w:val="30"/>
          <w:szCs w:val="30"/>
          <w:lang w:eastAsia="zh-CN"/>
        </w:rPr>
        <w:t>按规定发放了</w:t>
      </w:r>
      <w:r>
        <w:rPr>
          <w:rFonts w:hint="eastAsia" w:ascii="仿宋_GB2312" w:hAnsi="仿宋_GB2312" w:eastAsia="仿宋_GB2312"/>
          <w:sz w:val="30"/>
          <w:szCs w:val="30"/>
          <w:lang w:val="en-US" w:eastAsia="zh-CN"/>
        </w:rPr>
        <w:t>2021年度绩效考核奖</w:t>
      </w:r>
      <w:r>
        <w:rPr>
          <w:rFonts w:hint="eastAsia" w:ascii="仿宋_GB2312" w:hAnsi="仿宋_GB2312" w:eastAsia="仿宋_GB2312"/>
          <w:sz w:val="30"/>
          <w:szCs w:val="30"/>
        </w:rPr>
        <w:t>。</w:t>
      </w:r>
    </w:p>
    <w:p>
      <w:pPr>
        <w:ind w:firstLine="585"/>
        <w:jc w:val="left"/>
        <w:rPr>
          <w:rFonts w:hint="eastAsia" w:ascii="仿宋_GB2312" w:hAnsi="仿宋_GB2312" w:eastAsia="仿宋_GB2312"/>
          <w:sz w:val="30"/>
          <w:szCs w:val="30"/>
        </w:rPr>
      </w:pPr>
      <w:r>
        <w:rPr>
          <w:rFonts w:hint="eastAsia" w:ascii="仿宋_GB2312" w:hAnsi="仿宋_GB2312" w:eastAsia="仿宋_GB2312"/>
          <w:sz w:val="30"/>
          <w:szCs w:val="30"/>
        </w:rPr>
        <w:t>（二）商品和服务支出</w:t>
      </w:r>
      <w:r>
        <w:rPr>
          <w:rFonts w:hint="eastAsia" w:ascii="仿宋_GB2312" w:hAnsi="仿宋_GB2312" w:eastAsia="仿宋_GB2312"/>
          <w:sz w:val="30"/>
          <w:szCs w:val="30"/>
          <w:lang w:val="en-US" w:eastAsia="zh-CN"/>
        </w:rPr>
        <w:t>15.78</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2.33</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17.32</w:t>
      </w:r>
      <w:r>
        <w:rPr>
          <w:rFonts w:hint="eastAsia" w:ascii="仿宋_GB2312" w:hAnsi="仿宋_GB2312" w:eastAsia="仿宋_GB2312"/>
          <w:sz w:val="30"/>
          <w:szCs w:val="30"/>
        </w:rPr>
        <w:t>%，主要原因是：</w:t>
      </w:r>
      <w:r>
        <w:rPr>
          <w:rFonts w:hint="eastAsia" w:ascii="仿宋_GB2312" w:hAnsi="仿宋_GB2312" w:eastAsia="仿宋_GB2312"/>
          <w:sz w:val="30"/>
          <w:szCs w:val="30"/>
          <w:lang w:eastAsia="zh-CN"/>
        </w:rPr>
        <w:t>人口普查适度增加了办公费用</w:t>
      </w:r>
      <w:r>
        <w:rPr>
          <w:rFonts w:hint="eastAsia" w:ascii="仿宋_GB2312" w:hAnsi="仿宋_GB2312" w:eastAsia="仿宋_GB2312"/>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年度一般公共预算财政拨款“三公”经费支出年初预算数为</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万元，决算数为</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万元，完成预算的</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%，决算数较20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万元，其中：</w:t>
      </w:r>
    </w:p>
    <w:p>
      <w:pPr>
        <w:ind w:firstLine="630"/>
        <w:jc w:val="left"/>
        <w:rPr>
          <w:rFonts w:hint="eastAsia" w:ascii="仿宋_GB2312" w:hAnsi="仿宋_GB2312" w:eastAsia="仿宋_GB2312"/>
          <w:sz w:val="30"/>
          <w:szCs w:val="30"/>
          <w:lang w:val="en-US" w:eastAsia="zh-CN"/>
        </w:rPr>
      </w:pPr>
      <w:r>
        <w:rPr>
          <w:rFonts w:hint="eastAsia" w:ascii="仿宋_GB2312" w:hAnsi="仿宋_GB2312" w:eastAsia="仿宋_GB2312"/>
          <w:sz w:val="30"/>
          <w:szCs w:val="30"/>
        </w:rPr>
        <w:t>（一）因公出国（境）支出年初预算数为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万元，决算数为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，与上年决算数据相比未发生增减变动</w:t>
      </w:r>
      <w:r>
        <w:rPr>
          <w:rFonts w:hint="eastAsia" w:ascii="仿宋_GB2312" w:hAnsi="仿宋_GB2312" w:eastAsia="仿宋_GB2312"/>
          <w:sz w:val="30"/>
          <w:szCs w:val="30"/>
        </w:rPr>
        <w:t>。因公出国（境）</w:t>
      </w:r>
      <w:r>
        <w:rPr>
          <w:rFonts w:hint="eastAsia" w:ascii="仿宋_GB2312" w:hAnsi="仿宋_GB2312" w:eastAsia="仿宋_GB2312"/>
          <w:sz w:val="30"/>
          <w:szCs w:val="30"/>
          <w:lang w:eastAsia="zh-CN"/>
        </w:rPr>
        <w:t>组团数为</w:t>
      </w:r>
      <w:r>
        <w:rPr>
          <w:rFonts w:hint="eastAsia" w:ascii="仿宋_GB2312" w:hAnsi="仿宋_GB2312" w:eastAsia="仿宋_GB2312"/>
          <w:sz w:val="30"/>
          <w:szCs w:val="30"/>
          <w:lang w:val="en-US" w:eastAsia="zh-CN"/>
        </w:rPr>
        <w:t>0个，</w:t>
      </w:r>
      <w:r>
        <w:rPr>
          <w:rFonts w:hint="eastAsia" w:ascii="仿宋_GB2312" w:hAnsi="仿宋_GB2312" w:eastAsia="仿宋_GB2312"/>
          <w:sz w:val="30"/>
          <w:szCs w:val="30"/>
        </w:rPr>
        <w:t>因公出国（境）</w:t>
      </w:r>
      <w:r>
        <w:rPr>
          <w:rFonts w:hint="eastAsia" w:ascii="仿宋_GB2312" w:hAnsi="仿宋_GB2312" w:eastAsia="仿宋_GB2312"/>
          <w:sz w:val="30"/>
          <w:szCs w:val="30"/>
          <w:lang w:eastAsia="zh-CN"/>
        </w:rPr>
        <w:t>人次数为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lang w:eastAsia="zh-CN"/>
        </w:rPr>
        <w:t>人次。</w:t>
      </w:r>
    </w:p>
    <w:p>
      <w:pPr>
        <w:ind w:firstLine="630"/>
        <w:jc w:val="left"/>
        <w:rPr>
          <w:rFonts w:hint="default" w:ascii="仿宋_GB2312" w:hAnsi="仿宋_GB2312" w:eastAsia="仿宋_GB2312"/>
          <w:sz w:val="30"/>
          <w:szCs w:val="30"/>
          <w:lang w:val="en-US" w:eastAsia="zh-CN"/>
        </w:rPr>
      </w:pPr>
      <w:r>
        <w:rPr>
          <w:rFonts w:hint="eastAsia" w:ascii="仿宋_GB2312" w:hAnsi="仿宋_GB2312" w:eastAsia="仿宋_GB2312"/>
          <w:sz w:val="30"/>
          <w:szCs w:val="30"/>
        </w:rPr>
        <w:t>（二）公务接待费支出年初预算数为</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 xml:space="preserve">万元，决算数为  </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万元，完成预算的</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%，决算数较20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4.89</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w:t>
      </w:r>
      <w:r>
        <w:rPr>
          <w:rFonts w:hint="eastAsia" w:ascii="仿宋_GB2312" w:hAnsi="仿宋_GB2312" w:eastAsia="仿宋_GB2312" w:cs="Times New Roman"/>
          <w:sz w:val="30"/>
          <w:szCs w:val="30"/>
          <w:lang w:val="en-US" w:eastAsia="zh-CN"/>
        </w:rPr>
        <w:t>主要原因是</w:t>
      </w:r>
      <w:r>
        <w:rPr>
          <w:rFonts w:hint="eastAsia" w:ascii="仿宋_GB2312" w:hAnsi="仿宋_GB2312" w:eastAsia="仿宋_GB2312"/>
          <w:sz w:val="30"/>
          <w:szCs w:val="30"/>
        </w:rPr>
        <w:t>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w:t>
      </w:r>
      <w:r>
        <w:rPr>
          <w:rFonts w:hint="eastAsia" w:ascii="仿宋" w:hAnsi="仿宋" w:eastAsia="仿宋"/>
          <w:sz w:val="30"/>
          <w:szCs w:val="30"/>
          <w:lang w:eastAsia="zh-CN"/>
        </w:rPr>
        <w:t>当年接待费未入账列支，</w:t>
      </w:r>
      <w:r>
        <w:rPr>
          <w:rFonts w:hint="eastAsia" w:ascii="仿宋_GB2312" w:hAnsi="仿宋_GB2312" w:eastAsia="仿宋_GB2312"/>
          <w:sz w:val="30"/>
          <w:szCs w:val="30"/>
        </w:rPr>
        <w:t>决算数</w:t>
      </w:r>
      <w:r>
        <w:rPr>
          <w:rFonts w:hint="eastAsia" w:ascii="仿宋_GB2312" w:hAnsi="仿宋_GB2312" w:eastAsia="仿宋_GB2312"/>
          <w:sz w:val="30"/>
          <w:szCs w:val="30"/>
          <w:lang w:eastAsia="zh-CN"/>
        </w:rPr>
        <w:t>为两年</w:t>
      </w:r>
      <w:r>
        <w:rPr>
          <w:rFonts w:hint="eastAsia" w:ascii="仿宋" w:hAnsi="仿宋" w:eastAsia="仿宋"/>
          <w:sz w:val="30"/>
          <w:szCs w:val="30"/>
          <w:lang w:eastAsia="zh-CN"/>
        </w:rPr>
        <w:t>数</w:t>
      </w:r>
      <w:r>
        <w:rPr>
          <w:rFonts w:hint="eastAsia" w:ascii="仿宋_GB2312" w:hAnsi="仿宋_GB2312" w:eastAsia="仿宋_GB2312"/>
          <w:sz w:val="30"/>
          <w:szCs w:val="30"/>
        </w:rPr>
        <w:t>。</w:t>
      </w:r>
      <w:r>
        <w:rPr>
          <w:rFonts w:hint="eastAsia" w:ascii="仿宋_GB2312" w:hAnsi="仿宋_GB2312" w:eastAsia="仿宋_GB2312"/>
          <w:sz w:val="30"/>
          <w:szCs w:val="30"/>
          <w:lang w:val="en-US" w:eastAsia="zh-CN"/>
        </w:rPr>
        <w:t>全年国内公务接待批次为589个，其中外事接待批次为0个；国内公务接待人次589人，其中外事接待人次为0人</w:t>
      </w:r>
      <w:bookmarkStart w:id="0" w:name="_GoBack"/>
      <w:bookmarkEnd w:id="0"/>
      <w:r>
        <w:rPr>
          <w:rFonts w:hint="eastAsia" w:ascii="仿宋_GB2312" w:hAnsi="仿宋_GB2312" w:eastAsia="仿宋_GB2312"/>
          <w:sz w:val="30"/>
          <w:szCs w:val="30"/>
        </w:rPr>
        <w:t>。</w:t>
      </w:r>
    </w:p>
    <w:p>
      <w:pPr>
        <w:ind w:firstLine="630"/>
        <w:jc w:val="left"/>
        <w:rPr>
          <w:rFonts w:hint="eastAsia" w:ascii="仿宋_GB2312" w:hAnsi="仿宋_GB2312" w:eastAsia="仿宋_GB2312"/>
          <w:sz w:val="30"/>
          <w:szCs w:val="30"/>
          <w:lang w:eastAsia="zh-CN"/>
        </w:rPr>
      </w:pPr>
      <w:r>
        <w:rPr>
          <w:rFonts w:hint="eastAsia" w:ascii="仿宋_GB2312" w:hAnsi="仿宋_GB2312" w:eastAsia="仿宋_GB2312"/>
          <w:sz w:val="30"/>
          <w:szCs w:val="30"/>
        </w:rPr>
        <w:t>（三）公务用车购置及运行维护费支出年初预算数为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万元，决算数为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，与上年决算数据相比未发生增减变动</w:t>
      </w:r>
      <w:r>
        <w:rPr>
          <w:rFonts w:hint="eastAsia" w:ascii="仿宋_GB2312" w:hAnsi="仿宋_GB2312" w:eastAsia="仿宋_GB2312"/>
          <w:sz w:val="30"/>
          <w:szCs w:val="30"/>
        </w:rPr>
        <w:t>。其中公务用车购置年初预算数为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万元，决算数为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w:t>
      </w:r>
      <w:r>
        <w:rPr>
          <w:rFonts w:hint="eastAsia" w:ascii="仿宋_GB2312" w:hAnsi="仿宋_GB2312" w:eastAsia="仿宋_GB2312"/>
          <w:sz w:val="30"/>
          <w:szCs w:val="30"/>
        </w:rPr>
        <w:t>公务用车运行维护费支出年初预算数为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万元，决算数为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w:t>
      </w:r>
      <w:r>
        <w:rPr>
          <w:rFonts w:hint="eastAsia" w:ascii="仿宋_GB2312" w:hAnsi="仿宋_GB2312" w:eastAsia="仿宋_GB2312"/>
          <w:sz w:val="30"/>
          <w:szCs w:val="30"/>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年度机关运行经费支出</w:t>
      </w:r>
      <w:r>
        <w:rPr>
          <w:rFonts w:hint="eastAsia" w:ascii="仿宋_GB2312" w:hAnsi="仿宋_GB2312" w:eastAsia="仿宋_GB2312"/>
          <w:sz w:val="30"/>
          <w:szCs w:val="30"/>
          <w:lang w:val="en-US" w:eastAsia="zh-CN"/>
        </w:rPr>
        <w:t>15.78</w:t>
      </w:r>
      <w:r>
        <w:rPr>
          <w:rFonts w:hint="eastAsia" w:ascii="仿宋_GB2312" w:hAnsi="仿宋_GB2312" w:eastAsia="仿宋_GB2312"/>
          <w:sz w:val="30"/>
          <w:szCs w:val="30"/>
        </w:rPr>
        <w:t>万元（与部门决算中行政单位和参照公务员法管理事业单位一般公共预算财政拨款基本支出中公用经费之和一致），较</w:t>
      </w:r>
      <w:r>
        <w:rPr>
          <w:rFonts w:hint="eastAsia" w:ascii="仿宋_GB2312" w:hAnsi="仿宋_GB2312" w:eastAsia="仿宋_GB2312"/>
          <w:sz w:val="30"/>
          <w:szCs w:val="30"/>
          <w:lang w:val="en-US" w:eastAsia="zh-CN"/>
        </w:rPr>
        <w:t>上年决算数</w:t>
      </w:r>
      <w:r>
        <w:rPr>
          <w:rFonts w:hint="eastAsia" w:ascii="仿宋_GB2312" w:hAnsi="仿宋_GB2312" w:eastAsia="仿宋_GB2312"/>
          <w:sz w:val="30"/>
          <w:szCs w:val="30"/>
        </w:rPr>
        <w:t>增加</w:t>
      </w:r>
      <w:r>
        <w:rPr>
          <w:rFonts w:hint="eastAsia" w:ascii="仿宋_GB2312" w:hAnsi="仿宋_GB2312" w:eastAsia="仿宋_GB2312"/>
          <w:sz w:val="30"/>
          <w:szCs w:val="30"/>
          <w:lang w:val="en-US" w:eastAsia="zh-CN"/>
        </w:rPr>
        <w:t>2.33</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17.32</w:t>
      </w:r>
      <w:r>
        <w:rPr>
          <w:rFonts w:hint="eastAsia" w:ascii="仿宋_GB2312" w:hAnsi="仿宋_GB2312" w:eastAsia="仿宋_GB2312"/>
          <w:sz w:val="30"/>
          <w:szCs w:val="30"/>
        </w:rPr>
        <w:t>%，主要原因是：</w:t>
      </w:r>
      <w:r>
        <w:rPr>
          <w:rFonts w:hint="eastAsia" w:ascii="仿宋_GB2312" w:hAnsi="仿宋_GB2312" w:eastAsia="仿宋_GB2312"/>
          <w:sz w:val="30"/>
          <w:szCs w:val="30"/>
          <w:lang w:eastAsia="zh-CN"/>
        </w:rPr>
        <w:t>人口普查适度增加了办公费用</w:t>
      </w:r>
      <w:r>
        <w:rPr>
          <w:rFonts w:hint="eastAsia" w:ascii="仿宋_GB2312" w:hAnsi="仿宋_GB2312" w:eastAsia="仿宋_GB2312"/>
          <w:sz w:val="30"/>
          <w:szCs w:val="30"/>
        </w:rPr>
        <w:t>。</w:t>
      </w:r>
    </w:p>
    <w:p>
      <w:pPr>
        <w:ind w:firstLine="630"/>
        <w:jc w:val="left"/>
        <w:rPr>
          <w:rFonts w:ascii="黑体" w:hAnsi="黑体" w:eastAsia="黑体"/>
          <w:sz w:val="30"/>
          <w:szCs w:val="30"/>
        </w:rPr>
      </w:pPr>
      <w:r>
        <w:rPr>
          <w:rFonts w:hint="eastAsia" w:ascii="仿宋_GB2312" w:hAnsi="仿宋_GB2312" w:eastAsia="仿宋_GB2312"/>
          <w:sz w:val="30"/>
          <w:szCs w:val="30"/>
        </w:rPr>
        <w:t xml:space="preserve"> </w:t>
      </w:r>
      <w:r>
        <w:rPr>
          <w:rFonts w:hint="eastAsia" w:ascii="黑体" w:hAnsi="黑体" w:eastAsia="黑体"/>
          <w:sz w:val="30"/>
          <w:szCs w:val="30"/>
        </w:rPr>
        <w:t>七、政府采购支出情况说明</w:t>
      </w:r>
    </w:p>
    <w:p>
      <w:pPr>
        <w:pStyle w:val="8"/>
        <w:spacing w:line="600" w:lineRule="atLeast"/>
        <w:ind w:firstLine="600"/>
        <w:rPr>
          <w:rFonts w:hint="eastAsia" w:ascii="仿宋_GB2312" w:hAnsi="仿宋_GB2312" w:eastAsia="仿宋_GB2312"/>
          <w:sz w:val="30"/>
          <w:szCs w:val="30"/>
        </w:rPr>
      </w:pPr>
      <w:r>
        <w:rPr>
          <w:rFonts w:hint="eastAsia" w:ascii="仿宋_GB2312" w:hAnsi="仿宋_GB2312" w:eastAsia="仿宋_GB2312"/>
          <w:sz w:val="30"/>
          <w:szCs w:val="30"/>
        </w:rPr>
        <w:t>本部门202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 xml:space="preserve">年度政府采购支出总额 </w:t>
      </w:r>
      <w:r>
        <w:rPr>
          <w:rFonts w:hint="eastAsia" w:ascii="仿宋_GB2312" w:hAnsi="仿宋_GB2312" w:eastAsia="仿宋_GB2312"/>
          <w:sz w:val="30"/>
          <w:szCs w:val="30"/>
          <w:lang w:val="en-US" w:eastAsia="zh-CN"/>
        </w:rPr>
        <w:t>5.73</w:t>
      </w:r>
      <w:r>
        <w:rPr>
          <w:rFonts w:hint="eastAsia" w:ascii="仿宋_GB2312" w:hAnsi="仿宋_GB2312" w:eastAsia="仿宋_GB2312"/>
          <w:sz w:val="30"/>
          <w:szCs w:val="30"/>
        </w:rPr>
        <w:t xml:space="preserve"> 万元，其中：政府采购货物支出</w:t>
      </w:r>
      <w:r>
        <w:rPr>
          <w:rFonts w:hint="eastAsia" w:ascii="仿宋_GB2312" w:hAnsi="仿宋_GB2312" w:eastAsia="仿宋_GB2312"/>
          <w:sz w:val="30"/>
          <w:szCs w:val="30"/>
          <w:lang w:val="en-US" w:eastAsia="zh-CN"/>
        </w:rPr>
        <w:t>5.73</w:t>
      </w:r>
      <w:r>
        <w:rPr>
          <w:rFonts w:hint="eastAsia" w:ascii="仿宋_GB2312" w:hAnsi="仿宋_GB2312" w:eastAsia="仿宋_GB2312"/>
          <w:sz w:val="30"/>
          <w:szCs w:val="30"/>
        </w:rPr>
        <w:t>万元、政府采购工程支出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万元、政府采购服务支出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万元。授予中小企业合同金额</w:t>
      </w:r>
      <w:r>
        <w:rPr>
          <w:rFonts w:hint="eastAsia" w:ascii="仿宋_GB2312" w:hAnsi="仿宋_GB2312" w:eastAsia="仿宋_GB2312"/>
          <w:sz w:val="30"/>
          <w:szCs w:val="30"/>
          <w:lang w:val="en-US" w:eastAsia="zh-CN"/>
        </w:rPr>
        <w:t>5.73</w:t>
      </w:r>
      <w:r>
        <w:rPr>
          <w:rFonts w:hint="eastAsia" w:ascii="仿宋_GB2312" w:hAnsi="仿宋_GB2312" w:eastAsia="仿宋_GB2312"/>
          <w:sz w:val="30"/>
          <w:szCs w:val="30"/>
        </w:rPr>
        <w:t>万元，占政府采购支出总额的</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%，其中：授予小微企业合同金额</w:t>
      </w:r>
      <w:r>
        <w:rPr>
          <w:rFonts w:hint="eastAsia" w:ascii="仿宋_GB2312" w:hAnsi="仿宋_GB2312" w:eastAsia="仿宋_GB2312"/>
          <w:sz w:val="30"/>
          <w:szCs w:val="30"/>
          <w:lang w:val="en-US" w:eastAsia="zh-CN"/>
        </w:rPr>
        <w:t>5.73</w:t>
      </w:r>
      <w:r>
        <w:rPr>
          <w:rFonts w:hint="eastAsia" w:ascii="仿宋_GB2312" w:hAnsi="仿宋_GB2312" w:eastAsia="仿宋_GB2312"/>
          <w:sz w:val="30"/>
          <w:szCs w:val="30"/>
        </w:rPr>
        <w:t>万元，占政府采购支出总额的</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w:t>
      </w:r>
      <w:r>
        <w:rPr>
          <w:rFonts w:hint="eastAsia" w:ascii="仿宋_GB2312" w:hAnsi="仿宋_GB2312" w:eastAsia="仿宋_GB2312"/>
          <w:sz w:val="30"/>
          <w:szCs w:val="30"/>
          <w:lang w:val="en-US" w:eastAsia="zh-CN"/>
        </w:rPr>
        <w:t>；</w:t>
      </w:r>
      <w:r>
        <w:rPr>
          <w:rFonts w:hint="eastAsia" w:ascii="仿宋_GB2312" w:hAnsi="仿宋_GB2312" w:eastAsia="仿宋_GB2312"/>
          <w:color w:val="auto"/>
          <w:sz w:val="30"/>
          <w:szCs w:val="30"/>
          <w:lang w:val="en-US" w:eastAsia="zh-CN"/>
        </w:rPr>
        <w:t>货物采购授予中小企业合同金额占货物支出金额的100%。</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ind w:firstLine="630"/>
        <w:jc w:val="left"/>
        <w:rPr>
          <w:rFonts w:hint="eastAsia" w:ascii="仿宋_GB2312" w:hAnsi="仿宋_GB2312" w:eastAsia="仿宋_GB2312"/>
          <w:kern w:val="0"/>
          <w:sz w:val="30"/>
          <w:szCs w:val="30"/>
          <w:lang w:eastAsia="zh-CN"/>
        </w:rPr>
      </w:pPr>
      <w:r>
        <w:rPr>
          <w:rFonts w:hint="eastAsia" w:ascii="仿宋_GB2312" w:hAnsi="仿宋_GB2312" w:eastAsia="仿宋_GB2312"/>
          <w:kern w:val="0"/>
          <w:sz w:val="30"/>
          <w:szCs w:val="30"/>
        </w:rPr>
        <w:t>截止202</w:t>
      </w:r>
      <w:r>
        <w:rPr>
          <w:rFonts w:hint="eastAsia" w:ascii="仿宋_GB2312" w:hAnsi="仿宋_GB2312" w:eastAsia="仿宋_GB2312"/>
          <w:kern w:val="0"/>
          <w:sz w:val="30"/>
          <w:szCs w:val="30"/>
          <w:lang w:val="en-US" w:eastAsia="zh-CN"/>
        </w:rPr>
        <w:t>1</w:t>
      </w:r>
      <w:r>
        <w:rPr>
          <w:rFonts w:hint="eastAsia" w:ascii="仿宋_GB2312" w:hAnsi="仿宋_GB2312" w:eastAsia="仿宋_GB2312"/>
          <w:kern w:val="0"/>
          <w:sz w:val="30"/>
          <w:szCs w:val="30"/>
        </w:rPr>
        <w:t>年12月31日，本部门</w:t>
      </w:r>
      <w:r>
        <w:rPr>
          <w:rFonts w:hint="eastAsia" w:ascii="仿宋_GB2312" w:hAnsi="仿宋_GB2312" w:eastAsia="仿宋_GB2312"/>
          <w:kern w:val="0"/>
          <w:sz w:val="30"/>
          <w:szCs w:val="30"/>
          <w:lang w:eastAsia="zh-CN"/>
        </w:rPr>
        <w:t>（</w:t>
      </w:r>
      <w:r>
        <w:rPr>
          <w:rFonts w:hint="eastAsia" w:ascii="仿宋_GB2312" w:hAnsi="仿宋_GB2312" w:eastAsia="仿宋_GB2312"/>
          <w:kern w:val="0"/>
          <w:sz w:val="30"/>
          <w:szCs w:val="30"/>
          <w:lang w:val="en-US" w:eastAsia="zh-CN"/>
        </w:rPr>
        <w:t>单位）</w:t>
      </w:r>
      <w:r>
        <w:rPr>
          <w:rFonts w:hint="eastAsia" w:ascii="仿宋_GB2312" w:hAnsi="仿宋_GB2312" w:eastAsia="仿宋_GB2312"/>
          <w:kern w:val="0"/>
          <w:sz w:val="30"/>
          <w:szCs w:val="30"/>
        </w:rPr>
        <w:t>国有资产占用情况见</w:t>
      </w:r>
      <w:r>
        <w:rPr>
          <w:rFonts w:hint="eastAsia" w:ascii="仿宋_GB2312" w:hAnsi="仿宋_GB2312" w:eastAsia="仿宋_GB2312"/>
          <w:kern w:val="0"/>
          <w:sz w:val="30"/>
          <w:szCs w:val="30"/>
          <w:lang w:val="en-US" w:eastAsia="zh-CN"/>
        </w:rPr>
        <w:t>公开10</w:t>
      </w:r>
      <w:r>
        <w:rPr>
          <w:rFonts w:hint="eastAsia" w:ascii="仿宋_GB2312" w:hAnsi="仿宋_GB2312" w:eastAsia="仿宋_GB2312"/>
          <w:kern w:val="0"/>
          <w:sz w:val="30"/>
          <w:szCs w:val="30"/>
        </w:rPr>
        <w:t>表《国有资产占用情况表》。</w:t>
      </w:r>
      <w:r>
        <w:rPr>
          <w:rFonts w:hint="eastAsia" w:ascii="仿宋_GB2312" w:hAnsi="仿宋_GB2312" w:eastAsia="仿宋_GB2312"/>
          <w:kern w:val="0"/>
          <w:sz w:val="30"/>
          <w:szCs w:val="30"/>
          <w:lang w:eastAsia="zh-CN"/>
        </w:rPr>
        <w:t>本部门无相关资产。</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（一）绩效管理工作开展情况。</w:t>
      </w:r>
    </w:p>
    <w:p>
      <w:pPr>
        <w:autoSpaceDE w:val="0"/>
        <w:autoSpaceDN w:val="0"/>
        <w:adjustRightInd w:val="0"/>
        <w:spacing w:line="360" w:lineRule="auto"/>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根据预算绩效管理要求，我部门组织对</w:t>
      </w:r>
      <w:r>
        <w:rPr>
          <w:rFonts w:hint="eastAsia" w:ascii="仿宋_GB2312" w:hAnsi="仿宋_GB2312" w:eastAsia="仿宋_GB2312" w:cs="仿宋_GB2312"/>
          <w:color w:val="auto"/>
          <w:kern w:val="0"/>
          <w:sz w:val="30"/>
          <w:szCs w:val="30"/>
          <w:lang w:val="en-US" w:eastAsia="zh-CN"/>
        </w:rPr>
        <w:t>纳入</w:t>
      </w:r>
      <w:r>
        <w:rPr>
          <w:rFonts w:ascii="仿宋_GB2312" w:hAnsi="仿宋_GB2312" w:eastAsia="仿宋_GB2312" w:cs="仿宋_GB2312"/>
          <w:color w:val="auto"/>
          <w:kern w:val="0"/>
          <w:sz w:val="30"/>
          <w:szCs w:val="30"/>
        </w:rPr>
        <w:t>20</w:t>
      </w:r>
      <w:r>
        <w:rPr>
          <w:rFonts w:hint="eastAsia" w:ascii="仿宋_GB2312" w:hAnsi="仿宋_GB2312" w:eastAsia="仿宋_GB2312" w:cs="仿宋_GB2312"/>
          <w:color w:val="auto"/>
          <w:kern w:val="0"/>
          <w:sz w:val="30"/>
          <w:szCs w:val="30"/>
        </w:rPr>
        <w:t>2</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年度</w:t>
      </w:r>
      <w:r>
        <w:rPr>
          <w:rFonts w:hint="eastAsia" w:ascii="仿宋_GB2312" w:hAnsi="仿宋_GB2312" w:eastAsia="仿宋_GB2312" w:cs="仿宋_GB2312"/>
          <w:color w:val="auto"/>
          <w:kern w:val="0"/>
          <w:sz w:val="30"/>
          <w:szCs w:val="30"/>
          <w:lang w:val="en-US" w:eastAsia="zh-CN"/>
        </w:rPr>
        <w:t>部门预算范围的二级项目5个</w:t>
      </w:r>
      <w:r>
        <w:rPr>
          <w:rFonts w:hint="eastAsia" w:ascii="仿宋_GB2312" w:hAnsi="仿宋_GB2312" w:eastAsia="仿宋_GB2312" w:cs="仿宋_GB2312"/>
          <w:color w:val="auto"/>
          <w:kern w:val="0"/>
          <w:sz w:val="30"/>
          <w:szCs w:val="30"/>
        </w:rPr>
        <w:t>全面开展绩效自评，共涉及资金</w:t>
      </w:r>
      <w:r>
        <w:rPr>
          <w:rFonts w:hint="eastAsia" w:ascii="仿宋_GB2312" w:hAnsi="仿宋_GB2312" w:eastAsia="仿宋_GB2312" w:cs="仿宋_GB2312"/>
          <w:color w:val="auto"/>
          <w:kern w:val="0"/>
          <w:sz w:val="30"/>
          <w:szCs w:val="30"/>
          <w:lang w:val="en-US" w:eastAsia="zh-CN"/>
        </w:rPr>
        <w:t>229.16</w:t>
      </w:r>
      <w:r>
        <w:rPr>
          <w:rFonts w:hint="eastAsia" w:ascii="仿宋_GB2312" w:hAnsi="仿宋_GB2312" w:eastAsia="仿宋_GB2312" w:cs="仿宋_GB2312"/>
          <w:color w:val="auto"/>
          <w:kern w:val="0"/>
          <w:sz w:val="30"/>
          <w:szCs w:val="30"/>
        </w:rPr>
        <w:t>万元，占项目支出总额的</w:t>
      </w:r>
      <w:r>
        <w:rPr>
          <w:rFonts w:hint="eastAsia" w:ascii="仿宋_GB2312" w:hAnsi="仿宋_GB2312" w:eastAsia="仿宋_GB2312" w:cs="仿宋_GB2312"/>
          <w:color w:val="auto"/>
          <w:kern w:val="0"/>
          <w:sz w:val="30"/>
          <w:szCs w:val="30"/>
          <w:lang w:val="en-US" w:eastAsia="zh-CN"/>
        </w:rPr>
        <w:t>100</w:t>
      </w:r>
      <w:r>
        <w:rPr>
          <w:rFonts w:hint="eastAsia" w:ascii="仿宋_GB2312" w:hAnsi="仿宋_GB2312" w:eastAsia="仿宋_GB2312" w:cs="仿宋_GB2312"/>
          <w:color w:val="auto"/>
          <w:kern w:val="0"/>
          <w:sz w:val="30"/>
          <w:szCs w:val="30"/>
        </w:rPr>
        <w:t xml:space="preserve">%。    </w:t>
      </w:r>
    </w:p>
    <w:p>
      <w:pPr>
        <w:keepNext w:val="0"/>
        <w:keepLines w:val="0"/>
        <w:pageBreakBefore w:val="0"/>
        <w:kinsoku/>
        <w:wordWrap/>
        <w:overflowPunct/>
        <w:topLinePunct w:val="0"/>
        <w:autoSpaceDE w:val="0"/>
        <w:autoSpaceDN w:val="0"/>
        <w:bidi w:val="0"/>
        <w:adjustRightInd w:val="0"/>
        <w:snapToGrid/>
        <w:spacing w:line="560" w:lineRule="exact"/>
        <w:ind w:firstLine="600" w:firstLineChars="200"/>
        <w:jc w:val="both"/>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组织对“第七次全国人口普查”项目开展了部门评价，涉及一般公共预算支出161.16万元。</w:t>
      </w:r>
      <w:r>
        <w:rPr>
          <w:rFonts w:hint="eastAsia" w:ascii="仿宋_GB2312" w:hAnsi="仿宋_GB2312" w:eastAsia="仿宋_GB2312" w:cs="仿宋_GB2312"/>
          <w:color w:val="auto"/>
          <w:kern w:val="0"/>
          <w:sz w:val="32"/>
          <w:szCs w:val="32"/>
        </w:rPr>
        <w:t>从评价情况来</w:t>
      </w:r>
      <w:r>
        <w:rPr>
          <w:rFonts w:hint="eastAsia" w:ascii="仿宋_GB2312" w:hAnsi="仿宋_GB2312" w:eastAsia="仿宋_GB2312" w:cs="仿宋_GB2312"/>
          <w:color w:val="auto"/>
          <w:kern w:val="0"/>
          <w:sz w:val="32"/>
          <w:szCs w:val="32"/>
          <w:lang w:eastAsia="zh-CN"/>
        </w:rPr>
        <w:t>看该项目支出</w:t>
      </w:r>
      <w:r>
        <w:rPr>
          <w:rFonts w:ascii="仿宋" w:hAnsi="仿宋" w:eastAsia="仿宋" w:cs="仿宋"/>
          <w:i w:val="0"/>
          <w:iCs w:val="0"/>
          <w:caps w:val="0"/>
          <w:color w:val="333333"/>
          <w:spacing w:val="0"/>
          <w:sz w:val="32"/>
          <w:szCs w:val="32"/>
          <w:shd w:val="clear" w:color="auto" w:fill="FFFFFF"/>
        </w:rPr>
        <w:t>绩效管理情况较为理想，达到了年初设定的各项绩效目标</w:t>
      </w:r>
      <w:r>
        <w:rPr>
          <w:rFonts w:hint="eastAsia" w:ascii="仿宋" w:hAnsi="仿宋" w:eastAsia="仿宋" w:cs="仿宋"/>
          <w:i w:val="0"/>
          <w:iCs w:val="0"/>
          <w:caps w:val="0"/>
          <w:color w:val="333333"/>
          <w:spacing w:val="0"/>
          <w:sz w:val="32"/>
          <w:szCs w:val="32"/>
          <w:shd w:val="clear" w:color="auto" w:fill="FFFFFF"/>
          <w:lang w:eastAsia="zh-CN"/>
        </w:rPr>
        <w:t>，</w:t>
      </w:r>
      <w:r>
        <w:rPr>
          <w:rFonts w:hint="eastAsia" w:ascii="仿宋" w:hAnsi="仿宋" w:eastAsia="仿宋" w:cs="Times New Roman"/>
          <w:kern w:val="0"/>
          <w:sz w:val="32"/>
          <w:szCs w:val="32"/>
        </w:rPr>
        <w:t>资金使用严格按审批程序办理、操作规范，会计核算结果真实、准确，各项支出严格按照各项制度执行。</w:t>
      </w:r>
    </w:p>
    <w:p>
      <w:pPr>
        <w:numPr>
          <w:ilvl w:val="0"/>
          <w:numId w:val="0"/>
        </w:numPr>
        <w:autoSpaceDE w:val="0"/>
        <w:autoSpaceDN w:val="0"/>
        <w:adjustRightInd w:val="0"/>
        <w:spacing w:line="360" w:lineRule="auto"/>
        <w:ind w:firstLine="600" w:firstLineChars="200"/>
        <w:jc w:val="left"/>
        <w:rPr>
          <w:rFonts w:hint="eastAsia" w:ascii="仿宋" w:hAnsi="仿宋" w:eastAsia="仿宋" w:cs="Times New Roman"/>
          <w:kern w:val="0"/>
          <w:sz w:val="32"/>
          <w:szCs w:val="32"/>
        </w:rPr>
      </w:pPr>
      <w:r>
        <w:rPr>
          <w:rFonts w:hint="eastAsia" w:ascii="仿宋_GB2312" w:hAnsi="仿宋_GB2312" w:eastAsia="仿宋_GB2312" w:cs="仿宋_GB2312"/>
          <w:color w:val="auto"/>
          <w:kern w:val="0"/>
          <w:sz w:val="30"/>
          <w:szCs w:val="30"/>
        </w:rPr>
        <w:t>组织开展</w:t>
      </w:r>
      <w:r>
        <w:rPr>
          <w:rFonts w:hint="eastAsia" w:ascii="仿宋_GB2312" w:hAnsi="仿宋_GB2312" w:eastAsia="仿宋_GB2312" w:cs="仿宋_GB2312"/>
          <w:color w:val="auto"/>
          <w:kern w:val="0"/>
          <w:sz w:val="30"/>
          <w:szCs w:val="30"/>
          <w:lang w:val="en-US" w:eastAsia="zh-CN"/>
        </w:rPr>
        <w:t>部门整体支出绩效评价</w:t>
      </w:r>
      <w:r>
        <w:rPr>
          <w:rFonts w:hint="eastAsia" w:ascii="仿宋_GB2312" w:hAnsi="仿宋_GB2312" w:eastAsia="仿宋_GB2312" w:cs="仿宋_GB2312"/>
          <w:color w:val="auto"/>
          <w:kern w:val="0"/>
          <w:sz w:val="30"/>
          <w:szCs w:val="30"/>
        </w:rPr>
        <w:t>，涉及一般公共预算支出  414.49万元。从评价情况来看，</w:t>
      </w:r>
      <w:r>
        <w:rPr>
          <w:rFonts w:hint="eastAsia" w:ascii="仿宋_GB2312" w:hAnsi="仿宋_GB2312" w:eastAsia="仿宋_GB2312" w:cs="仿宋_GB2312"/>
          <w:color w:val="auto"/>
          <w:kern w:val="0"/>
          <w:sz w:val="30"/>
          <w:szCs w:val="30"/>
          <w:lang w:eastAsia="zh-CN"/>
        </w:rPr>
        <w:t>本</w:t>
      </w:r>
      <w:r>
        <w:rPr>
          <w:rFonts w:hint="eastAsia" w:ascii="仿宋_GB2312" w:hAnsi="仿宋_GB2312" w:eastAsia="仿宋_GB2312" w:cs="仿宋_GB2312"/>
          <w:color w:val="auto"/>
          <w:kern w:val="0"/>
          <w:sz w:val="30"/>
          <w:szCs w:val="30"/>
          <w:lang w:val="en-US" w:eastAsia="zh-CN"/>
        </w:rPr>
        <w:t>部门整体支出</w:t>
      </w:r>
      <w:r>
        <w:rPr>
          <w:rFonts w:ascii="仿宋" w:hAnsi="仿宋" w:eastAsia="仿宋" w:cs="仿宋"/>
          <w:i w:val="0"/>
          <w:iCs w:val="0"/>
          <w:caps w:val="0"/>
          <w:color w:val="333333"/>
          <w:spacing w:val="0"/>
          <w:sz w:val="32"/>
          <w:szCs w:val="32"/>
          <w:shd w:val="clear" w:color="auto" w:fill="FFFFFF"/>
        </w:rPr>
        <w:t>绩效管理情况较为理想，达到了年初设定的各项绩效目标</w:t>
      </w:r>
      <w:r>
        <w:rPr>
          <w:rFonts w:hint="eastAsia" w:ascii="仿宋" w:hAnsi="仿宋" w:eastAsia="仿宋" w:cs="仿宋"/>
          <w:i w:val="0"/>
          <w:iCs w:val="0"/>
          <w:caps w:val="0"/>
          <w:color w:val="333333"/>
          <w:spacing w:val="0"/>
          <w:sz w:val="32"/>
          <w:szCs w:val="32"/>
          <w:shd w:val="clear" w:color="auto" w:fill="FFFFFF"/>
          <w:lang w:eastAsia="zh-CN"/>
        </w:rPr>
        <w:t>，</w:t>
      </w:r>
      <w:r>
        <w:rPr>
          <w:rFonts w:hint="eastAsia" w:ascii="仿宋" w:hAnsi="仿宋" w:eastAsia="仿宋" w:cs="Times New Roman"/>
          <w:kern w:val="0"/>
          <w:sz w:val="32"/>
          <w:szCs w:val="32"/>
        </w:rPr>
        <w:t>资金使用严格按审批程序办理、操作规范，会计核算结果真实、准确，各项支出严格按照各项制度执行。</w:t>
      </w:r>
    </w:p>
    <w:p>
      <w:pPr>
        <w:numPr>
          <w:ilvl w:val="0"/>
          <w:numId w:val="0"/>
        </w:numPr>
        <w:autoSpaceDE w:val="0"/>
        <w:autoSpaceDN w:val="0"/>
        <w:adjustRightInd w:val="0"/>
        <w:spacing w:line="360" w:lineRule="auto"/>
        <w:ind w:firstLine="600" w:firstLineChars="200"/>
        <w:jc w:val="left"/>
        <w:rPr>
          <w:rFonts w:hint="default"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eastAsia="zh-CN"/>
        </w:rPr>
        <w:t>（</w:t>
      </w:r>
      <w:r>
        <w:rPr>
          <w:rFonts w:hint="eastAsia" w:ascii="仿宋_GB2312" w:hAnsi="仿宋_GB2312" w:eastAsia="仿宋_GB2312" w:cs="仿宋_GB2312"/>
          <w:color w:val="auto"/>
          <w:kern w:val="0"/>
          <w:sz w:val="30"/>
          <w:szCs w:val="30"/>
          <w:lang w:val="en-US" w:eastAsia="zh-CN"/>
        </w:rPr>
        <w:t>二）</w:t>
      </w:r>
      <w:r>
        <w:rPr>
          <w:rFonts w:hint="eastAsia" w:ascii="仿宋_GB2312" w:hAnsi="仿宋_GB2312" w:eastAsia="仿宋_GB2312" w:cs="仿宋_GB2312"/>
          <w:color w:val="auto"/>
          <w:kern w:val="0"/>
          <w:sz w:val="30"/>
          <w:szCs w:val="30"/>
        </w:rPr>
        <w:t>部门决算中项目绩效自评</w:t>
      </w:r>
      <w:r>
        <w:rPr>
          <w:rFonts w:hint="eastAsia" w:ascii="仿宋_GB2312" w:hAnsi="仿宋_GB2312" w:eastAsia="仿宋_GB2312" w:cs="仿宋_GB2312"/>
          <w:color w:val="auto"/>
          <w:kern w:val="0"/>
          <w:sz w:val="30"/>
          <w:szCs w:val="30"/>
          <w:lang w:val="en-US" w:eastAsia="zh-CN"/>
        </w:rPr>
        <w:t>情况</w:t>
      </w:r>
      <w:r>
        <w:rPr>
          <w:rFonts w:hint="eastAsia" w:ascii="仿宋_GB2312" w:hAnsi="仿宋_GB2312" w:eastAsia="仿宋_GB2312" w:cs="仿宋_GB2312"/>
          <w:color w:val="auto"/>
          <w:kern w:val="0"/>
          <w:sz w:val="30"/>
          <w:szCs w:val="30"/>
        </w:rPr>
        <w:t>。</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color w:val="auto"/>
          <w:kern w:val="0"/>
          <w:sz w:val="30"/>
          <w:szCs w:val="30"/>
          <w:lang w:val="en-US" w:eastAsia="zh-CN"/>
        </w:rPr>
        <w:t>2021年度部门申报的第七次全国人口普查、业务费等5个</w:t>
      </w:r>
      <w:r>
        <w:rPr>
          <w:rFonts w:hint="default" w:ascii="仿宋_GB2312" w:hAnsi="仿宋_GB2312" w:eastAsia="仿宋_GB2312" w:cs="仿宋_GB2312"/>
          <w:color w:val="auto"/>
          <w:kern w:val="0"/>
          <w:sz w:val="30"/>
          <w:szCs w:val="30"/>
          <w:lang w:val="en-US" w:eastAsia="zh-CN"/>
        </w:rPr>
        <w:t>项目绩效目标</w:t>
      </w:r>
      <w:r>
        <w:rPr>
          <w:rFonts w:hint="eastAsia" w:ascii="仿宋_GB2312" w:hAnsi="仿宋_GB2312" w:eastAsia="仿宋_GB2312" w:cs="仿宋_GB2312"/>
          <w:color w:val="auto"/>
          <w:kern w:val="0"/>
          <w:sz w:val="30"/>
          <w:szCs w:val="30"/>
          <w:lang w:val="en-US" w:eastAsia="zh-CN"/>
        </w:rPr>
        <w:t>为全面完成本县的统计和国民经济核算工作；组织宣传、贯彻统计法律法规，监督检查统计法律法规的实施。在县政府的领导下，组织完成国务院统一布置的第七次全国人口普查。收集、汇总、整理、提供全县性基本统计资料；对国民经济、社会发展和科技进步进行统计分析、统计预测和统计监督，向县委、县政府及有关部门提供决策咨询建议。统一核定、管理、公布、出版全县性统计资料，定期发布全县国民经济和社会发展情况的统计公报。本部门高度重视项目支出绩效自评工作，成立了项目支出绩效自评工作领导小组，专题召开会议进行了安排部署，提出绩效自评工作总体要求，对评价依据，评价目的，考评对象，方法步骤，工作进度做出具体规定，将责任落实到具体个人，将工作落实到具体项目，确保了自评工作组织到位，责任到位，项目到位。</w:t>
      </w:r>
      <w:r>
        <w:rPr>
          <w:rFonts w:hint="eastAsia" w:ascii="仿宋_GB2312" w:hAnsi="仿宋_GB2312" w:eastAsia="仿宋_GB2312" w:cs="仿宋_GB2312"/>
          <w:color w:val="auto"/>
          <w:kern w:val="0"/>
          <w:sz w:val="32"/>
          <w:szCs w:val="32"/>
        </w:rPr>
        <w:t>从评价情况来</w:t>
      </w:r>
      <w:r>
        <w:rPr>
          <w:rFonts w:hint="eastAsia" w:ascii="仿宋_GB2312" w:hAnsi="仿宋_GB2312" w:eastAsia="仿宋_GB2312" w:cs="仿宋_GB2312"/>
          <w:color w:val="auto"/>
          <w:kern w:val="0"/>
          <w:sz w:val="32"/>
          <w:szCs w:val="32"/>
          <w:lang w:eastAsia="zh-CN"/>
        </w:rPr>
        <w:t>以上项目支出</w:t>
      </w:r>
      <w:r>
        <w:rPr>
          <w:rFonts w:ascii="仿宋" w:hAnsi="仿宋" w:eastAsia="仿宋" w:cs="仿宋"/>
          <w:i w:val="0"/>
          <w:iCs w:val="0"/>
          <w:caps w:val="0"/>
          <w:color w:val="333333"/>
          <w:spacing w:val="0"/>
          <w:sz w:val="32"/>
          <w:szCs w:val="32"/>
          <w:shd w:val="clear" w:color="auto" w:fill="FFFFFF"/>
        </w:rPr>
        <w:t>绩效管理情况较为理想，达到了年初设定的各项绩效目标</w:t>
      </w:r>
      <w:r>
        <w:rPr>
          <w:rFonts w:hint="eastAsia" w:ascii="仿宋" w:hAnsi="仿宋" w:eastAsia="仿宋" w:cs="仿宋"/>
          <w:i w:val="0"/>
          <w:iCs w:val="0"/>
          <w:caps w:val="0"/>
          <w:color w:val="333333"/>
          <w:spacing w:val="0"/>
          <w:sz w:val="32"/>
          <w:szCs w:val="32"/>
          <w:shd w:val="clear" w:color="auto" w:fill="FFFFFF"/>
          <w:lang w:eastAsia="zh-CN"/>
        </w:rPr>
        <w:t>，</w:t>
      </w:r>
      <w:r>
        <w:rPr>
          <w:rFonts w:hint="default" w:ascii="仿宋" w:hAnsi="仿宋" w:eastAsia="仿宋" w:cs="仿宋"/>
          <w:sz w:val="32"/>
          <w:szCs w:val="32"/>
          <w:lang w:val="en-US" w:eastAsia="zh-CN"/>
        </w:rPr>
        <w:t>圆满完成了确定的各项目标任务。</w:t>
      </w:r>
      <w:r>
        <w:rPr>
          <w:rFonts w:hint="eastAsia" w:ascii="仿宋" w:hAnsi="仿宋" w:eastAsia="仿宋" w:cs="仿宋"/>
          <w:sz w:val="32"/>
          <w:szCs w:val="32"/>
          <w:lang w:val="en-US" w:eastAsia="zh-CN"/>
        </w:rPr>
        <w:t>项目自评表如下：</w:t>
      </w:r>
    </w:p>
    <w:p>
      <w:pPr>
        <w:pStyle w:val="2"/>
      </w:pPr>
    </w:p>
    <w:p>
      <w:pPr>
        <w:pStyle w:val="2"/>
      </w:pPr>
    </w:p>
    <w:p>
      <w:pPr>
        <w:pStyle w:val="2"/>
      </w:pPr>
      <w:r>
        <w:drawing>
          <wp:inline distT="0" distB="0" distL="114300" distR="114300">
            <wp:extent cx="5266690" cy="3364230"/>
            <wp:effectExtent l="0" t="0" r="10160" b="762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4"/>
                    <a:stretch>
                      <a:fillRect/>
                    </a:stretch>
                  </pic:blipFill>
                  <pic:spPr>
                    <a:xfrm>
                      <a:off x="0" y="0"/>
                      <a:ext cx="5266690" cy="336423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lang w:val="en-US" w:eastAsia="zh-CN"/>
        </w:rPr>
      </w:pPr>
      <w:r>
        <w:drawing>
          <wp:inline distT="0" distB="0" distL="114300" distR="114300">
            <wp:extent cx="5269865" cy="3015615"/>
            <wp:effectExtent l="0" t="0" r="6985" b="1333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5"/>
                    <a:stretch>
                      <a:fillRect/>
                    </a:stretch>
                  </pic:blipFill>
                  <pic:spPr>
                    <a:xfrm>
                      <a:off x="0" y="0"/>
                      <a:ext cx="5269865" cy="3015615"/>
                    </a:xfrm>
                    <a:prstGeom prst="rect">
                      <a:avLst/>
                    </a:prstGeom>
                    <a:noFill/>
                    <a:ln>
                      <a:noFill/>
                    </a:ln>
                  </pic:spPr>
                </pic:pic>
              </a:graphicData>
            </a:graphic>
          </wp:inline>
        </w:drawing>
      </w:r>
    </w:p>
    <w:p>
      <w:pPr>
        <w:autoSpaceDE w:val="0"/>
        <w:autoSpaceDN w:val="0"/>
        <w:adjustRightInd w:val="0"/>
        <w:spacing w:line="360" w:lineRule="auto"/>
        <w:jc w:val="left"/>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三）部门评价项目绩效评价情况。</w:t>
      </w:r>
    </w:p>
    <w:p>
      <w:pPr>
        <w:autoSpaceDE w:val="0"/>
        <w:autoSpaceDN w:val="0"/>
        <w:adjustRightInd w:val="0"/>
        <w:spacing w:line="360" w:lineRule="auto"/>
        <w:ind w:firstLine="600"/>
        <w:jc w:val="left"/>
        <w:rPr>
          <w:rFonts w:hint="eastAsia" w:ascii="仿宋_GB2312" w:hAnsi="仿宋_GB2312" w:eastAsia="仿宋_GB2312" w:cs="仿宋_GB2312"/>
          <w:color w:val="auto"/>
          <w:kern w:val="0"/>
          <w:sz w:val="30"/>
          <w:szCs w:val="30"/>
          <w:lang w:eastAsia="zh-CN"/>
        </w:rPr>
      </w:pPr>
      <w:r>
        <w:rPr>
          <w:rFonts w:hint="eastAsia" w:ascii="仿宋_GB2312" w:hAnsi="仿宋_GB2312" w:eastAsia="仿宋_GB2312" w:cs="仿宋_GB2312"/>
          <w:kern w:val="0"/>
          <w:sz w:val="30"/>
          <w:szCs w:val="30"/>
          <w:lang w:val="en-US" w:eastAsia="zh-CN"/>
        </w:rPr>
        <w:t>县统计局对</w:t>
      </w:r>
      <w:r>
        <w:rPr>
          <w:rFonts w:hint="eastAsia" w:ascii="仿宋_GB2312" w:hAnsi="仿宋_GB2312" w:eastAsia="仿宋_GB2312" w:cs="仿宋_GB2312"/>
          <w:color w:val="auto"/>
          <w:kern w:val="0"/>
          <w:sz w:val="30"/>
          <w:szCs w:val="30"/>
        </w:rPr>
        <w:t>“第七次全国人口普查”项目开展了部门评价</w:t>
      </w:r>
      <w:r>
        <w:rPr>
          <w:rFonts w:hint="eastAsia" w:ascii="仿宋_GB2312" w:hAnsi="仿宋_GB2312" w:eastAsia="仿宋_GB2312" w:cs="仿宋_GB2312"/>
          <w:color w:val="auto"/>
          <w:kern w:val="0"/>
          <w:sz w:val="30"/>
          <w:szCs w:val="30"/>
          <w:lang w:eastAsia="zh-CN"/>
        </w:rPr>
        <w:t>，具体报告如下：</w:t>
      </w:r>
    </w:p>
    <w:p>
      <w:pPr>
        <w:autoSpaceDE w:val="0"/>
        <w:autoSpaceDN w:val="0"/>
        <w:adjustRightInd w:val="0"/>
        <w:spacing w:line="360" w:lineRule="auto"/>
        <w:ind w:firstLine="600"/>
        <w:jc w:val="left"/>
        <w:rPr>
          <w:rFonts w:hint="default" w:ascii="仿宋_GB2312" w:hAnsi="仿宋_GB2312" w:eastAsia="仿宋_GB2312" w:cs="仿宋_GB2312"/>
          <w:kern w:val="0"/>
          <w:sz w:val="30"/>
          <w:szCs w:val="30"/>
          <w:lang w:val="en-US" w:eastAsia="zh-CN"/>
        </w:rPr>
      </w:pPr>
      <w:r>
        <w:rPr>
          <w:rFonts w:hint="default" w:ascii="仿宋_GB2312" w:hAnsi="仿宋_GB2312" w:eastAsia="仿宋_GB2312" w:cs="仿宋_GB2312"/>
          <w:kern w:val="0"/>
          <w:sz w:val="30"/>
          <w:szCs w:val="30"/>
          <w:lang w:val="en-US" w:eastAsia="zh-CN"/>
        </w:rPr>
        <w:object>
          <v:shape id="_x0000_i1025" o:spt="75" type="#_x0000_t75" style="height:66pt;width:72.75pt;" o:ole="t" filled="f" o:preferrelative="t" stroked="f" coordsize="21600,21600">
            <v:path/>
            <v:fill on="f" focussize="0,0"/>
            <v:stroke on="f"/>
            <v:imagedata r:id="rId17" o:title=""/>
            <o:lock v:ext="edit" aspectratio="t"/>
            <w10:wrap type="none"/>
            <w10:anchorlock/>
          </v:shape>
          <o:OLEObject Type="Embed" ProgID="Word.Document.12" ShapeID="_x0000_i1025" DrawAspect="Icon" ObjectID="_1468075725" r:id="rId16">
            <o:LockedField>false</o:LockedField>
          </o:OLEObject>
        </w:objec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_GB2312" w:hAnsi="仿宋_GB2312" w:eastAsia="仿宋_GB2312" w:cs="仿宋_GB2312"/>
          <w:color w:val="auto"/>
          <w:kern w:val="0"/>
          <w:sz w:val="30"/>
          <w:szCs w:val="30"/>
          <w:lang w:val="en-US" w:eastAsia="zh-CN"/>
        </w:rPr>
      </w:pPr>
      <w:r>
        <w:rPr>
          <w:rFonts w:hint="eastAsia"/>
        </w:rPr>
        <w:t xml:space="preserve">   </w:t>
      </w:r>
      <w:r>
        <w:rPr>
          <w:rFonts w:hint="eastAsia" w:ascii="仿宋_GB2312" w:hAnsi="仿宋_GB2312" w:eastAsia="仿宋_GB2312" w:cs="仿宋_GB2312"/>
          <w:color w:val="auto"/>
          <w:kern w:val="0"/>
          <w:sz w:val="30"/>
          <w:szCs w:val="30"/>
          <w:lang w:val="en-US" w:eastAsia="zh-CN"/>
        </w:rPr>
        <w:t xml:space="preserve"> 部门评价报告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一、基本情况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一）项目概况。2021年为第七次全国人口普查数据开发应用年，兴国县统计局在县委、县政府的领导下，坚持习近平关于统计工作有关批示指示为指导，认真做好第七次全国人口普查数据开发应用工作。按照第七次全国人口普查方案工作要求，经过测算，我县完成第七次全国人口普查工作需要889.3万元项目经费，项目实施期限为3年，其中2021年161.16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二）项目绩效目标。1：做好第七次全国人口普查数据开发应用试点、培训、调研至少开展一次。全面准确掌握人口数据和全面准确掌握人口生产生活状况，为各级党委、政府决策提供可靠依据，使社会各界对数据的认可度均达到90%以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二、绩效评价工作开展情况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一）绩效评价目的、对象和范围。通过对2021年兴国县第七次全国人口普查项目开展绩效评价，了解该项目资金的使用情况、项目实施情况以及取得的综合绩效，发现项目管理中存在的问题，总结项目实施经验，同时进一步加强和规范项目资金管理，完善项目资金管理办法，指导预算编制和申报绩效目标，为优化财政支出结构提供决策参考和依据，以保证项目资金使用管理的规范性、安全性和有效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二）绩效评价原则、评价指标体系（附表说明）、评价方法、评价标准等。1.强化绩效理念，深入推进评价工作。进一步强化绩效管理理念，将“要我评价”的被动认识转化为“我要评价”的主动实践，健全完善制度办法，切实加强组织领导，深入推进评价工作，提升整体绩效管理水平。</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2.强化事前准备，提升评价质量。在推进自身评价工作开展时，结合评价工作实际，完善项目支出评价一级指标体系，规范评价标准，立足管理需求，预设评价重点，确保绩效评价结果公正、客观、精准，真实反映绩效，如实反映问题，切实提高评价质量。</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3.强化结果应用，巩固评价成效。及时整理、归纳、分析评价结果，将结果应用作为全过程预算绩效管理的落脚点，巩固评价成效，将评价结果作为改进预算管理和以后年度预算安排的重要依据，更好的维护我县的社会稳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三）绩效评价工作过程。我局在县委、县政府的坚强领导与上级统计部门的精心指导下，以习近平新时代中国特色社会主义思想为指导，深入学习贯彻党的十九届五中、六中全会精神，全面贯彻落实习近平总书记关于统计工作重要批示指示精神。按照绩效评价工作对第七次全国人口普查工作经费进行全面绩效评价。</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三、综合评价情况及评价结论（附相关评分表）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四、绩效评价指标分析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一）项目决策情况：2021年为第七次全国人口普查数据开发应用年，兴国县统计局在县委、县政府的领导下，坚持习近平关于统计工作有关批示指示为指导，认真做好第七次全国人口普查工作。按照第七次全国人口普查方案工作要求，经过测算决定立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（二）项目过程情况：2021年度做好第七次全国人口普查数据开发应用试点，培训、调研至少开展一次。做好第七次全国人口普查数据开发应用。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（三）项目产出情况：全面准确掌握了人口数据和全面准确掌握人口生产生活状况。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（四）项目效益情况：为各级党委、政府决策提供了可靠依据，社会各界对数据的认可度均达到90%以上。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五、主要经验及做法、存在的问题及原因分析：针对项目支出自评中发现的问题，局预算绩效评价工作小组要求各项目单位高度重视绩效自评中发现的问题，具体分析原因，采取行之有效的措施，确保绩效落到实处。一是要强化项目管理，从提高项目绩效预算入手，将绩效目标作为预算安排的重要依据，提高预算编制的科学性和准确性。二是强化预算执行，严格执行项目预算，督促相关人员及时完善资料，及时报账。</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六、有关建议：无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七、其他需要说明的问题：无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auto"/>
          <w:kern w:val="0"/>
          <w:sz w:val="30"/>
          <w:szCs w:val="30"/>
          <w:lang w:val="en-US" w:eastAsia="zh-CN"/>
        </w:rPr>
      </w:pPr>
    </w:p>
    <w:p>
      <w:pPr>
        <w:autoSpaceDE w:val="0"/>
        <w:autoSpaceDN w:val="0"/>
        <w:adjustRightInd w:val="0"/>
        <w:spacing w:line="360" w:lineRule="auto"/>
        <w:ind w:firstLine="600"/>
        <w:jc w:val="left"/>
        <w:rPr>
          <w:rFonts w:hint="eastAsia" w:ascii="方正小标宋简体" w:hAnsi="方正小标宋简体" w:eastAsia="方正小标宋简体" w:cs="方正小标宋简体"/>
          <w:b w:val="0"/>
          <w:bCs w:val="0"/>
          <w:kern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p>
    <w:p>
      <w:pPr>
        <w:widowControl/>
        <w:spacing w:line="600" w:lineRule="exact"/>
        <w:ind w:firstLine="64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第四部分  名词解释</w:t>
      </w:r>
    </w:p>
    <w:p>
      <w:pPr>
        <w:pStyle w:val="8"/>
        <w:spacing w:line="600" w:lineRule="atLeast"/>
        <w:ind w:firstLine="600"/>
        <w:rPr>
          <w:rFonts w:hint="eastAsia" w:ascii="仿宋_GB2312" w:hAnsi="仿宋_GB2312" w:eastAsia="仿宋_GB2312"/>
          <w:sz w:val="30"/>
          <w:szCs w:val="30"/>
        </w:rPr>
      </w:pPr>
    </w:p>
    <w:p>
      <w:pPr>
        <w:widowControl/>
        <w:spacing w:line="600" w:lineRule="exact"/>
        <w:jc w:val="center"/>
        <w:rPr>
          <w:rFonts w:hint="eastAsia" w:ascii="宋体" w:hAnsi="宋体"/>
          <w:b/>
          <w:sz w:val="32"/>
          <w:szCs w:val="32"/>
        </w:rPr>
      </w:pPr>
      <w:r>
        <w:rPr>
          <w:rFonts w:hint="eastAsia" w:ascii="宋体" w:hAnsi="宋体"/>
          <w:b/>
          <w:sz w:val="32"/>
          <w:szCs w:val="32"/>
        </w:rPr>
        <w:t>第四部分  名词解释</w:t>
      </w:r>
    </w:p>
    <w:p>
      <w:pPr>
        <w:pStyle w:val="8"/>
        <w:spacing w:line="600" w:lineRule="atLeast"/>
        <w:ind w:firstLine="600"/>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kern w:val="0"/>
          <w:sz w:val="32"/>
          <w:szCs w:val="32"/>
        </w:rPr>
        <w:t xml:space="preserve"> </w:t>
      </w:r>
      <w:r>
        <w:rPr>
          <w:rFonts w:hint="eastAsia" w:ascii="仿宋" w:hAnsi="仿宋" w:eastAsia="仿宋" w:cs="Times New Roman"/>
          <w:kern w:val="0"/>
          <w:sz w:val="32"/>
          <w:szCs w:val="32"/>
        </w:rPr>
        <w:t>一、财政拨款收入：指单位本年度从本级财政部门取得的财政拨款，包括一般公共预算财政拨款和政府性基金预算财政拨款。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二、其他收入：指单位取得的除上述“财政拨款收入”、“事业收入”、“经营收入”、“附属单位缴款”等以外的各项收入。我单位主要是</w:t>
      </w:r>
      <w:r>
        <w:rPr>
          <w:rFonts w:hint="eastAsia" w:ascii="仿宋" w:hAnsi="仿宋" w:eastAsia="仿宋" w:cs="Times New Roman"/>
          <w:kern w:val="0"/>
          <w:sz w:val="32"/>
          <w:szCs w:val="32"/>
          <w:lang w:eastAsia="zh-CN"/>
        </w:rPr>
        <w:t>其他单位拨来款项</w:t>
      </w:r>
      <w:r>
        <w:rPr>
          <w:rFonts w:hint="eastAsia" w:ascii="仿宋" w:hAnsi="仿宋" w:eastAsia="仿宋" w:cs="Times New Roman"/>
          <w:kern w:val="0"/>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 xml:space="preserve">三、年初结转和结余：指单位上年结转本年使用的基本支出结转、项目支出结转和结余和经营结余。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四、年末结转和结余资金：指单位结转下年的基本支出结转、项目支出结转和结余和经营结余。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 xml:space="preserve">五、基本支出：指为保障机构正常运转、完成日常工作任务而发生的人员支出和公用支出。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kern w:val="0"/>
          <w:sz w:val="32"/>
          <w:szCs w:val="32"/>
        </w:rPr>
      </w:pPr>
      <w:r>
        <w:rPr>
          <w:rFonts w:hint="eastAsia" w:ascii="仿宋" w:hAnsi="仿宋" w:eastAsia="仿宋" w:cs="Times New Roman"/>
          <w:kern w:val="0"/>
          <w:sz w:val="32"/>
          <w:szCs w:val="32"/>
        </w:rPr>
        <w:t>六、项目支出：指在基本支出之外为完成特定的行政任务或事业发展目标所发生的支出。 我单位主要包括：第七次全国人口普查经费、年鉴印刷经费、企业一套表经费、联网直报、业务费。</w:t>
      </w:r>
    </w:p>
    <w:p>
      <w:pPr>
        <w:ind w:firstLine="600"/>
        <w:rPr>
          <w:rFonts w:hint="eastAsia" w:ascii="仿宋_GB2312" w:hAnsi="仿宋_GB2312" w:eastAsia="仿宋_GB2312"/>
          <w:color w:val="auto"/>
          <w:kern w:val="0"/>
          <w:sz w:val="32"/>
          <w:szCs w:val="32"/>
          <w:lang w:val="en-US" w:eastAsia="zh-CN"/>
        </w:rPr>
      </w:pPr>
      <w:r>
        <w:rPr>
          <w:rFonts w:hint="eastAsia" w:ascii="仿宋" w:hAnsi="仿宋" w:eastAsia="仿宋" w:cs="Times New Roman"/>
          <w:kern w:val="0"/>
          <w:sz w:val="32"/>
          <w:szCs w:val="32"/>
        </w:rPr>
        <w:t>七、“三公”经费：指各部门因</w:t>
      </w:r>
      <w:r>
        <w:rPr>
          <w:rFonts w:hint="eastAsia" w:ascii="仿宋_GB2312" w:hAnsi="仿宋_GB2312" w:eastAsia="仿宋_GB2312"/>
          <w:color w:val="auto"/>
          <w:kern w:val="0"/>
          <w:sz w:val="32"/>
          <w:szCs w:val="32"/>
          <w:lang w:val="en-US" w:eastAsia="zh-CN"/>
        </w:rPr>
        <w:t>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color w:val="auto"/>
          <w:sz w:val="32"/>
          <w:szCs w:val="32"/>
        </w:rPr>
      </w:pPr>
      <w:r>
        <w:rPr>
          <w:rFonts w:hint="eastAsia" w:ascii="仿宋_GB2312" w:hAnsi="仿宋_GB2312" w:eastAsia="仿宋_GB2312"/>
          <w:color w:val="auto"/>
          <w:kern w:val="0"/>
          <w:sz w:val="32"/>
          <w:szCs w:val="32"/>
          <w:lang w:eastAsia="zh-CN"/>
        </w:rPr>
        <w:t>八、</w:t>
      </w:r>
      <w:r>
        <w:rPr>
          <w:rFonts w:hint="eastAsia" w:ascii="仿宋_GB2312" w:hAnsi="仿宋_GB2312" w:eastAsia="仿宋_GB2312"/>
          <w:color w:val="auto"/>
          <w:kern w:val="0"/>
          <w:sz w:val="32"/>
          <w:szCs w:val="32"/>
        </w:rPr>
        <w:t>机关运行经费支出</w:t>
      </w:r>
      <w:r>
        <w:rPr>
          <w:rFonts w:hint="eastAsia" w:ascii="仿宋_GB2312" w:hAnsi="仿宋_GB2312" w:eastAsia="仿宋_GB2312"/>
          <w:color w:val="auto"/>
          <w:kern w:val="0"/>
          <w:sz w:val="32"/>
          <w:szCs w:val="32"/>
          <w:lang w:eastAsia="zh-CN"/>
        </w:rPr>
        <w:t>：</w:t>
      </w:r>
      <w:r>
        <w:rPr>
          <w:rFonts w:hint="eastAsia" w:ascii="仿宋_GB2312" w:hAnsi="仿宋_GB2312" w:eastAsia="仿宋_GB2312"/>
          <w:color w:val="auto"/>
          <w:kern w:val="0"/>
          <w:sz w:val="32"/>
          <w:szCs w:val="32"/>
          <w:lang w:val="en-US" w:eastAsia="zh-CN"/>
        </w:rPr>
        <w:t>指用一般公共预算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numPr>
          <w:ilvl w:val="0"/>
          <w:numId w:val="0"/>
        </w:numPr>
        <w:jc w:val="both"/>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1AB64"/>
    <w:multiLevelType w:val="singleLevel"/>
    <w:tmpl w:val="CEF1AB64"/>
    <w:lvl w:ilvl="0" w:tentative="0">
      <w:start w:val="8"/>
      <w:numFmt w:val="chineseCounting"/>
      <w:suff w:val="nothing"/>
      <w:lvlText w:val="%1、"/>
      <w:lvlJc w:val="left"/>
      <w:pPr>
        <w:ind w:left="1280" w:firstLine="0"/>
      </w:pPr>
      <w:rPr>
        <w:rFonts w:hint="eastAsia"/>
      </w:rPr>
    </w:lvl>
  </w:abstractNum>
  <w:abstractNum w:abstractNumId="1">
    <w:nsid w:val="0ECD6C58"/>
    <w:multiLevelType w:val="singleLevel"/>
    <w:tmpl w:val="0ECD6C58"/>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Y2NjYzdiYjBjMTExY2I1Y2JhY2NiYmU4ODNkZDAifQ=="/>
  </w:docVars>
  <w:rsids>
    <w:rsidRoot w:val="34AB5C50"/>
    <w:rsid w:val="01594D09"/>
    <w:rsid w:val="0AC1286A"/>
    <w:rsid w:val="0F795ED2"/>
    <w:rsid w:val="19262E2A"/>
    <w:rsid w:val="193B5CB5"/>
    <w:rsid w:val="34AB5C50"/>
    <w:rsid w:val="3AF05491"/>
    <w:rsid w:val="3B0430F7"/>
    <w:rsid w:val="3C98242C"/>
    <w:rsid w:val="3DB37034"/>
    <w:rsid w:val="3F6528F2"/>
    <w:rsid w:val="48992ABE"/>
    <w:rsid w:val="49534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4">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13.emf"/><Relationship Id="rId16" Type="http://schemas.openxmlformats.org/officeDocument/2006/relationships/oleObject" Target="embeddings/oleObject1.bin"/><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6112</Words>
  <Characters>6510</Characters>
  <Lines>0</Lines>
  <Paragraphs>0</Paragraphs>
  <TotalTime>0</TotalTime>
  <ScaleCrop>false</ScaleCrop>
  <LinksUpToDate>false</LinksUpToDate>
  <CharactersWithSpaces>6619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2022-08-31T00:43:00Z</dcterms:created>
  <dc:creator>朵朵老师</dc:creator>
  <cp:lastModifiedBy>Administrator</cp:lastModifiedBy>
  <cp:lastPrinted>2023-06-19T01:27:00Z</cp:lastPrinted>
  <dcterms:modified xsi:type="dcterms:W3CDTF">2023-06-19T02:31:44Z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CA2C16920E724C179849B6476D20221E</vt:lpwstr>
  </property>
</Properties>
</file>