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sz w:val="30"/>
          <w:szCs w:val="30"/>
          <w:lang w:val="en-US" w:eastAsia="zh-CN"/>
        </w:rPr>
      </w:pPr>
    </w:p>
    <w:p>
      <w:pPr>
        <w:spacing w:line="600" w:lineRule="exact"/>
        <w:jc w:val="center"/>
        <w:rPr>
          <w:rFonts w:hint="eastAsia" w:ascii="宋体" w:hAnsi="宋体" w:eastAsia="宋体" w:cs="宋体"/>
          <w:b/>
          <w:bCs/>
          <w:sz w:val="44"/>
          <w:szCs w:val="36"/>
        </w:rPr>
      </w:pPr>
      <w:r>
        <w:rPr>
          <w:rFonts w:hint="eastAsia" w:ascii="宋体" w:hAnsi="宋体" w:eastAsia="宋体" w:cs="宋体"/>
          <w:b/>
          <w:bCs/>
          <w:sz w:val="44"/>
          <w:szCs w:val="36"/>
        </w:rPr>
        <w:t>兴国县</w:t>
      </w:r>
      <w:r>
        <w:rPr>
          <w:rFonts w:hint="eastAsia" w:ascii="宋体" w:hAnsi="宋体" w:eastAsia="宋体" w:cs="宋体"/>
          <w:b/>
          <w:bCs/>
          <w:sz w:val="44"/>
          <w:szCs w:val="36"/>
          <w:lang w:eastAsia="zh-CN"/>
        </w:rPr>
        <w:t>金融工作局</w:t>
      </w:r>
      <w:r>
        <w:rPr>
          <w:rFonts w:hint="eastAsia" w:ascii="宋体" w:hAnsi="宋体" w:cs="宋体"/>
          <w:b/>
          <w:bCs/>
          <w:sz w:val="44"/>
          <w:szCs w:val="36"/>
          <w:lang w:val="en-US" w:eastAsia="zh-CN"/>
        </w:rPr>
        <w:t>2021</w:t>
      </w:r>
      <w:r>
        <w:rPr>
          <w:rFonts w:hint="eastAsia" w:ascii="宋体" w:hAnsi="宋体" w:eastAsia="宋体" w:cs="宋体"/>
          <w:b/>
          <w:bCs/>
          <w:sz w:val="44"/>
          <w:szCs w:val="36"/>
        </w:rPr>
        <w:t>年度部门决算</w:t>
      </w:r>
    </w:p>
    <w:p>
      <w:pPr>
        <w:spacing w:line="600" w:lineRule="exact"/>
        <w:jc w:val="center"/>
        <w:rPr>
          <w:rFonts w:hint="eastAsia" w:ascii="宋体" w:hAnsi="宋体" w:eastAsia="宋体" w:cs="宋体"/>
          <w:b/>
          <w:bCs/>
          <w:sz w:val="40"/>
          <w:szCs w:val="36"/>
        </w:rPr>
      </w:pPr>
      <w:r>
        <w:rPr>
          <w:rFonts w:hint="eastAsia" w:ascii="宋体" w:hAnsi="宋体" w:eastAsia="宋体" w:cs="宋体"/>
          <w:b/>
          <w:bCs/>
          <w:sz w:val="40"/>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firstLineChars="200"/>
        <w:jc w:val="both"/>
        <w:rPr>
          <w:rFonts w:hint="eastAsia" w:ascii="黑体" w:hAnsi="黑体" w:eastAsia="黑体"/>
          <w:b w:val="0"/>
          <w:sz w:val="32"/>
          <w:szCs w:val="32"/>
        </w:rPr>
      </w:pPr>
      <w:r>
        <w:rPr>
          <w:rFonts w:hint="eastAsia" w:ascii="黑体" w:hAnsi="黑体" w:eastAsia="黑体" w:cs="Times New Roman"/>
          <w:sz w:val="32"/>
          <w:szCs w:val="32"/>
        </w:rPr>
        <w:t>第一部分  兴国县</w:t>
      </w:r>
      <w:r>
        <w:rPr>
          <w:rFonts w:hint="eastAsia" w:ascii="黑体" w:hAnsi="黑体" w:eastAsia="黑体" w:cs="Times New Roman"/>
          <w:sz w:val="32"/>
          <w:szCs w:val="32"/>
          <w:lang w:eastAsia="zh-CN"/>
        </w:rPr>
        <w:t>金融工作局</w:t>
      </w:r>
      <w:r>
        <w:rPr>
          <w:rFonts w:hint="eastAsia" w:ascii="黑体" w:hAnsi="黑体" w:eastAsia="黑体" w:cs="Times New Roman"/>
          <w:sz w:val="32"/>
          <w:szCs w:val="32"/>
        </w:rPr>
        <w:t>部门概况</w:t>
      </w:r>
    </w:p>
    <w:p>
      <w:pPr>
        <w:widowControl/>
        <w:spacing w:line="600" w:lineRule="exact"/>
        <w:ind w:firstLine="640"/>
        <w:jc w:val="left"/>
        <w:rPr>
          <w:rFonts w:hint="eastAsia" w:ascii="仿宋" w:hAnsi="仿宋" w:eastAsia="仿宋"/>
          <w:sz w:val="32"/>
          <w:szCs w:val="30"/>
        </w:rPr>
      </w:pPr>
      <w:r>
        <w:rPr>
          <w:rFonts w:hint="eastAsia" w:ascii="仿宋_GB2312" w:eastAsia="仿宋_GB2312"/>
          <w:b/>
          <w:sz w:val="32"/>
          <w:szCs w:val="30"/>
        </w:rPr>
        <w:t xml:space="preserve">    </w:t>
      </w:r>
      <w:r>
        <w:rPr>
          <w:rFonts w:hint="eastAsia" w:ascii="仿宋" w:hAnsi="仿宋" w:eastAsia="仿宋"/>
          <w:sz w:val="32"/>
          <w:szCs w:val="30"/>
        </w:rPr>
        <w:t>一、部门主要职责</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二、部门基本情况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第二部分  202</w:t>
      </w:r>
      <w:r>
        <w:rPr>
          <w:rFonts w:hint="eastAsia" w:ascii="黑体" w:hAnsi="黑体" w:eastAsia="黑体"/>
          <w:sz w:val="32"/>
          <w:szCs w:val="32"/>
          <w:lang w:val="en-US" w:eastAsia="zh-CN"/>
        </w:rPr>
        <w:t>1</w:t>
      </w:r>
      <w:r>
        <w:rPr>
          <w:rFonts w:hint="eastAsia" w:ascii="黑体" w:hAnsi="黑体" w:eastAsia="黑体"/>
          <w:sz w:val="32"/>
          <w:szCs w:val="32"/>
        </w:rPr>
        <w:t>年度部门决算表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一、收入支出决算总表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二、收入决算表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三、支出决算表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四、财政拨款收入支出决算总表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五、一般公共预算财政拨款支出决算表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六、一般公共预算财政拨款基本支出决算表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七、一般公共预算财政拨款“三公”经费支出决算</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表</w:t>
      </w:r>
    </w:p>
    <w:p>
      <w:pPr>
        <w:widowControl/>
        <w:numPr>
          <w:ilvl w:val="0"/>
          <w:numId w:val="1"/>
        </w:numPr>
        <w:spacing w:line="600" w:lineRule="exact"/>
        <w:ind w:left="1280" w:leftChars="0" w:firstLine="0" w:firstLineChars="0"/>
        <w:jc w:val="left"/>
        <w:rPr>
          <w:rFonts w:hint="eastAsia" w:ascii="仿宋" w:hAnsi="仿宋" w:eastAsia="仿宋" w:cs="宋体"/>
          <w:kern w:val="0"/>
          <w:sz w:val="32"/>
          <w:szCs w:val="32"/>
        </w:rPr>
      </w:pPr>
      <w:r>
        <w:rPr>
          <w:rFonts w:hint="eastAsia" w:ascii="仿宋" w:hAnsi="仿宋" w:eastAsia="仿宋" w:cs="宋体"/>
          <w:kern w:val="0"/>
          <w:sz w:val="32"/>
          <w:szCs w:val="32"/>
        </w:rPr>
        <w:t>政府性基金预算财政拨款收入支出决算表</w:t>
      </w:r>
    </w:p>
    <w:p>
      <w:pPr>
        <w:widowControl/>
        <w:numPr>
          <w:ilvl w:val="0"/>
          <w:numId w:val="1"/>
        </w:numPr>
        <w:spacing w:line="600" w:lineRule="exact"/>
        <w:ind w:left="1280" w:leftChars="0" w:firstLine="0" w:firstLineChars="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国有资本经营预算财政拨款支出决算表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w:t>
      </w:r>
      <w:r>
        <w:rPr>
          <w:rFonts w:hint="eastAsia" w:ascii="仿宋" w:hAnsi="仿宋" w:eastAsia="仿宋" w:cs="宋体"/>
          <w:kern w:val="0"/>
          <w:sz w:val="32"/>
          <w:szCs w:val="32"/>
          <w:lang w:val="en-US" w:eastAsia="zh-CN"/>
        </w:rPr>
        <w:t>十</w:t>
      </w:r>
      <w:r>
        <w:rPr>
          <w:rFonts w:hint="eastAsia" w:ascii="仿宋" w:hAnsi="仿宋" w:eastAsia="仿宋" w:cs="宋体"/>
          <w:kern w:val="0"/>
          <w:sz w:val="32"/>
          <w:szCs w:val="32"/>
        </w:rPr>
        <w:t>、国有资产占用情况表</w:t>
      </w:r>
    </w:p>
    <w:p>
      <w:pPr>
        <w:widowControl/>
        <w:spacing w:line="600" w:lineRule="exact"/>
        <w:jc w:val="left"/>
        <w:rPr>
          <w:rFonts w:hint="eastAsia" w:ascii="黑体" w:hAnsi="黑体" w:eastAsia="黑体"/>
          <w:sz w:val="32"/>
          <w:szCs w:val="32"/>
        </w:rPr>
      </w:pPr>
      <w:r>
        <w:rPr>
          <w:rFonts w:hint="eastAsia" w:ascii="仿宋" w:hAnsi="仿宋" w:eastAsia="仿宋" w:cs="宋体"/>
          <w:kern w:val="0"/>
          <w:sz w:val="32"/>
          <w:szCs w:val="32"/>
        </w:rPr>
        <w:t xml:space="preserve">    </w:t>
      </w:r>
      <w:r>
        <w:rPr>
          <w:rFonts w:hint="eastAsia" w:ascii="黑体" w:hAnsi="黑体" w:eastAsia="黑体"/>
          <w:sz w:val="32"/>
          <w:szCs w:val="32"/>
        </w:rPr>
        <w:t>第三部分  202</w:t>
      </w:r>
      <w:r>
        <w:rPr>
          <w:rFonts w:hint="eastAsia" w:ascii="黑体" w:hAnsi="黑体" w:eastAsia="黑体"/>
          <w:sz w:val="32"/>
          <w:szCs w:val="32"/>
          <w:lang w:val="en-US" w:eastAsia="zh-CN"/>
        </w:rPr>
        <w:t>1</w:t>
      </w:r>
      <w:r>
        <w:rPr>
          <w:rFonts w:hint="eastAsia" w:ascii="黑体" w:hAnsi="黑体" w:eastAsia="黑体"/>
          <w:sz w:val="32"/>
          <w:szCs w:val="32"/>
        </w:rPr>
        <w:t>年度部门决算情况说明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三、财政拨款支出决算情况说明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四、一般公共预算财政拨款基本支出决算情况说明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五、一般公共预算财政拨款“三公”经费支出决算</w:t>
      </w:r>
    </w:p>
    <w:p>
      <w:pPr>
        <w:widowControl/>
        <w:spacing w:line="600" w:lineRule="exact"/>
        <w:jc w:val="left"/>
        <w:rPr>
          <w:rFonts w:hint="eastAsia" w:ascii="仿宋" w:hAnsi="仿宋" w:eastAsia="仿宋"/>
          <w:sz w:val="32"/>
          <w:szCs w:val="30"/>
        </w:rPr>
      </w:pPr>
      <w:r>
        <w:rPr>
          <w:rFonts w:hint="eastAsia" w:ascii="仿宋" w:hAnsi="仿宋" w:eastAsia="仿宋"/>
          <w:sz w:val="32"/>
          <w:szCs w:val="30"/>
        </w:rPr>
        <w:t xml:space="preserve">    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六、机关运行经费支出情况说明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七、政府采购支出情况说明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八、国有资产占用情况说明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九、预算绩效情况说明</w:t>
      </w:r>
    </w:p>
    <w:p>
      <w:pPr>
        <w:widowControl/>
        <w:spacing w:line="600" w:lineRule="exact"/>
        <w:ind w:firstLine="640"/>
        <w:jc w:val="left"/>
        <w:rPr>
          <w:rFonts w:ascii="仿宋" w:hAnsi="仿宋" w:eastAsia="仿宋"/>
          <w:sz w:val="32"/>
          <w:szCs w:val="30"/>
        </w:rPr>
      </w:pPr>
      <w:r>
        <w:rPr>
          <w:rFonts w:hint="eastAsia" w:ascii="黑体" w:hAnsi="黑体" w:eastAsia="黑体"/>
          <w:sz w:val="32"/>
          <w:szCs w:val="32"/>
        </w:rPr>
        <w:t>第四部分  名词解释</w:t>
      </w: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widowControl/>
        <w:spacing w:line="580" w:lineRule="exact"/>
        <w:jc w:val="center"/>
        <w:rPr>
          <w:rFonts w:hint="eastAsia" w:ascii="宋体" w:hAnsi="宋体" w:cs="Times New Roman"/>
          <w:b/>
          <w:sz w:val="32"/>
          <w:szCs w:val="32"/>
        </w:rPr>
      </w:pPr>
      <w:r>
        <w:rPr>
          <w:rFonts w:hint="eastAsia" w:ascii="宋体" w:hAnsi="宋体" w:cs="Times New Roman"/>
          <w:b/>
          <w:sz w:val="32"/>
          <w:szCs w:val="32"/>
        </w:rPr>
        <w:t xml:space="preserve">第一部分  </w:t>
      </w:r>
      <w:r>
        <w:rPr>
          <w:rFonts w:hint="eastAsia" w:ascii="宋体" w:hAnsi="宋体" w:cs="Times New Roman"/>
          <w:b/>
          <w:sz w:val="32"/>
          <w:szCs w:val="32"/>
          <w:lang w:eastAsia="zh-CN"/>
        </w:rPr>
        <w:t>兴国县金融工作局</w:t>
      </w:r>
      <w:r>
        <w:rPr>
          <w:rFonts w:hint="eastAsia" w:ascii="宋体" w:hAnsi="宋体" w:cs="Times New Roman"/>
          <w:b/>
          <w:sz w:val="32"/>
          <w:szCs w:val="32"/>
        </w:rPr>
        <w:t>部门概况</w:t>
      </w:r>
    </w:p>
    <w:p>
      <w:pPr>
        <w:ind w:firstLine="630"/>
        <w:jc w:val="center"/>
        <w:rPr>
          <w:rFonts w:hint="eastAsia"/>
          <w:sz w:val="32"/>
          <w:szCs w:val="32"/>
        </w:rPr>
      </w:pPr>
    </w:p>
    <w:p>
      <w:pPr>
        <w:ind w:firstLine="630"/>
        <w:jc w:val="left"/>
        <w:rPr>
          <w:rFonts w:hint="eastAsia" w:ascii="黑体" w:hAnsi="黑体" w:eastAsia="黑体"/>
          <w:sz w:val="30"/>
          <w:szCs w:val="30"/>
        </w:rPr>
      </w:pPr>
      <w:r>
        <w:rPr>
          <w:rFonts w:hint="eastAsia" w:ascii="黑体" w:hAnsi="黑体" w:eastAsia="黑体"/>
          <w:sz w:val="30"/>
          <w:szCs w:val="30"/>
        </w:rPr>
        <w:t>一、部门主要职能</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sz w:val="32"/>
          <w:szCs w:val="32"/>
        </w:rPr>
        <w:t>（一）</w:t>
      </w:r>
      <w:r>
        <w:rPr>
          <w:rFonts w:hint="eastAsia" w:ascii="仿宋" w:hAnsi="仿宋" w:eastAsia="仿宋" w:cs="Times New Roman"/>
          <w:sz w:val="32"/>
          <w:szCs w:val="32"/>
          <w:lang w:eastAsia="zh-CN"/>
        </w:rPr>
        <w:t>根据兴国县机构编制委员会《关于成立兴国县金融工作局的通知》（兴编字〔</w:t>
      </w:r>
      <w:r>
        <w:rPr>
          <w:rFonts w:hint="eastAsia" w:ascii="仿宋" w:hAnsi="仿宋" w:eastAsia="仿宋" w:cs="Times New Roman"/>
          <w:sz w:val="32"/>
          <w:szCs w:val="32"/>
          <w:lang w:val="en-US" w:eastAsia="zh-CN"/>
        </w:rPr>
        <w:t>2013</w:t>
      </w:r>
      <w:r>
        <w:rPr>
          <w:rFonts w:hint="eastAsia" w:ascii="仿宋" w:hAnsi="仿宋" w:eastAsia="仿宋" w:cs="Times New Roman"/>
          <w:sz w:val="32"/>
          <w:szCs w:val="32"/>
          <w:lang w:eastAsia="zh-CN"/>
        </w:rPr>
        <w:t>〕</w:t>
      </w:r>
      <w:r>
        <w:rPr>
          <w:rFonts w:hint="eastAsia" w:ascii="仿宋" w:hAnsi="仿宋" w:eastAsia="仿宋" w:cs="Times New Roman"/>
          <w:sz w:val="32"/>
          <w:szCs w:val="32"/>
          <w:lang w:val="en-US" w:eastAsia="zh-CN"/>
        </w:rPr>
        <w:t>30</w:t>
      </w:r>
      <w:r>
        <w:rPr>
          <w:rFonts w:hint="eastAsia" w:ascii="仿宋" w:hAnsi="仿宋" w:eastAsia="仿宋" w:cs="Times New Roman"/>
          <w:sz w:val="32"/>
          <w:szCs w:val="32"/>
          <w:lang w:eastAsia="zh-CN"/>
        </w:rPr>
        <w:t>号）文件精神，成立兴国县金融工作局，为县人民政府直属正科级全额拨款事业单位。主要职责是：</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（一）拟定我县落实国家金融政策的实施意见，督促驻县金融机构落实好国家、省、市和县委、县政府的决策部署，协调和支持各金融机构创新业务，加大对地方经济和社会发展的支持。</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（二）研究拟订全县金融发展中长期规划和工作计划；研究分析经济金融形势，提出优化金融环境、改善金融服务、促进我县金融业发展的政策建议。</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（三）负责全县企业上市工作，指导和推动拟上市公司资产重组及融资；协助做好证券期货机构和上市公司规范发展工作。</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（四）承担对地方金融机构的相关业务管理工作，参与对地方金融机构及其高管人员的业绩考核。对县属金融企业高管人员的提名、任免提出意见。</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（五）指导全县小额贷款公司的设立初审和监管工作，负责辖区内小额贷款公司日常监管工作。</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（六）负责融资性担保机构和其他地方金融中介组织的设立审检报批和业务监管。</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（七）协助金融监管机构对地方金融机构及金融行业自律组织的监管；负责组织实施县政府对地方金融机构和地方金融中介组织的管理；负责与驻县金融机构的联系。</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（八）协助推进地方金融机构的政策重组；指导和推进金融市场体系建设；指导和推进农村金融政策和发展。</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（九）配合协助省、市政府金融办对驻县省、市属金融企业进行监管。</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（十）配合有关部门整顿和规范金融秩序、查处非法金融机构和非法金融活动，防范和化解金融风险。</w:t>
      </w:r>
    </w:p>
    <w:p>
      <w:pPr>
        <w:spacing w:line="600" w:lineRule="exact"/>
        <w:ind w:firstLine="630"/>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（十一）承办县委、县政府交办的其它事项。</w:t>
      </w:r>
    </w:p>
    <w:p>
      <w:pPr>
        <w:ind w:firstLine="630"/>
        <w:jc w:val="left"/>
        <w:rPr>
          <w:rFonts w:hint="eastAsia" w:ascii="黑体" w:hAnsi="黑体" w:eastAsia="黑体"/>
          <w:sz w:val="30"/>
          <w:szCs w:val="30"/>
        </w:rPr>
      </w:pPr>
      <w:r>
        <w:rPr>
          <w:rFonts w:hint="eastAsia" w:ascii="黑体" w:hAnsi="黑体" w:eastAsia="黑体"/>
          <w:sz w:val="30"/>
          <w:szCs w:val="30"/>
        </w:rPr>
        <w:t>二、部门基本情况</w:t>
      </w:r>
    </w:p>
    <w:p>
      <w:pPr>
        <w:spacing w:line="600" w:lineRule="exact"/>
        <w:ind w:firstLine="630"/>
        <w:rPr>
          <w:rFonts w:hint="eastAsia" w:ascii="仿宋" w:hAnsi="仿宋" w:eastAsia="仿宋" w:cs="Times New Roman"/>
          <w:sz w:val="32"/>
          <w:szCs w:val="32"/>
          <w:u w:val="none"/>
        </w:rPr>
      </w:pPr>
      <w:r>
        <w:rPr>
          <w:rFonts w:hint="eastAsia" w:ascii="仿宋" w:hAnsi="仿宋" w:eastAsia="仿宋" w:cs="Times New Roman"/>
          <w:sz w:val="32"/>
          <w:szCs w:val="32"/>
          <w:u w:val="none"/>
        </w:rPr>
        <w:t>纳入本套部门决算汇编范围的单位共</w:t>
      </w:r>
      <w:r>
        <w:rPr>
          <w:rFonts w:hint="eastAsia" w:ascii="仿宋" w:hAnsi="仿宋" w:eastAsia="仿宋" w:cs="Times New Roman"/>
          <w:sz w:val="32"/>
          <w:szCs w:val="32"/>
          <w:u w:val="none"/>
          <w:lang w:val="en-US" w:eastAsia="zh-CN"/>
        </w:rPr>
        <w:t>1</w:t>
      </w:r>
      <w:r>
        <w:rPr>
          <w:rFonts w:hint="eastAsia" w:ascii="仿宋" w:hAnsi="仿宋" w:eastAsia="仿宋" w:cs="Times New Roman"/>
          <w:sz w:val="32"/>
          <w:szCs w:val="32"/>
          <w:u w:val="none"/>
        </w:rPr>
        <w:t>个，包括：</w:t>
      </w:r>
      <w:r>
        <w:rPr>
          <w:rFonts w:hint="eastAsia" w:ascii="仿宋" w:hAnsi="仿宋" w:eastAsia="仿宋" w:cs="Times New Roman"/>
          <w:sz w:val="32"/>
          <w:szCs w:val="32"/>
          <w:u w:val="none"/>
          <w:lang w:eastAsia="zh-CN"/>
        </w:rPr>
        <w:t>兴国县金融工作局本级</w:t>
      </w:r>
      <w:r>
        <w:rPr>
          <w:rFonts w:hint="eastAsia" w:ascii="仿宋" w:hAnsi="仿宋" w:eastAsia="仿宋" w:cs="Times New Roman"/>
          <w:sz w:val="32"/>
          <w:szCs w:val="32"/>
          <w:u w:val="none"/>
        </w:rPr>
        <w:t>。</w:t>
      </w:r>
    </w:p>
    <w:p>
      <w:pPr>
        <w:spacing w:line="600" w:lineRule="exact"/>
        <w:ind w:firstLine="630"/>
        <w:rPr>
          <w:rFonts w:hint="default" w:ascii="仿宋" w:hAnsi="仿宋" w:eastAsia="仿宋" w:cs="Times New Roman"/>
          <w:sz w:val="32"/>
          <w:szCs w:val="32"/>
          <w:u w:val="none"/>
          <w:lang w:val="en-US" w:eastAsia="zh-CN"/>
        </w:rPr>
      </w:pPr>
      <w:r>
        <w:rPr>
          <w:rFonts w:hint="eastAsia" w:ascii="仿宋" w:hAnsi="仿宋" w:eastAsia="仿宋" w:cs="Times New Roman"/>
          <w:sz w:val="32"/>
          <w:szCs w:val="32"/>
          <w:u w:val="none"/>
        </w:rPr>
        <w:t>本部门20</w:t>
      </w:r>
      <w:r>
        <w:rPr>
          <w:rFonts w:hint="eastAsia" w:ascii="仿宋" w:hAnsi="仿宋" w:eastAsia="仿宋" w:cs="Times New Roman"/>
          <w:sz w:val="32"/>
          <w:szCs w:val="32"/>
          <w:u w:val="none"/>
          <w:lang w:val="en-US" w:eastAsia="zh-CN"/>
        </w:rPr>
        <w:t>21</w:t>
      </w:r>
      <w:r>
        <w:rPr>
          <w:rFonts w:hint="eastAsia" w:ascii="仿宋" w:hAnsi="仿宋" w:eastAsia="仿宋" w:cs="Times New Roman"/>
          <w:sz w:val="32"/>
          <w:szCs w:val="32"/>
          <w:u w:val="none"/>
        </w:rPr>
        <w:t>年年末实有人数</w:t>
      </w:r>
      <w:r>
        <w:rPr>
          <w:rFonts w:hint="eastAsia" w:ascii="仿宋" w:hAnsi="仿宋" w:eastAsia="仿宋" w:cs="Times New Roman"/>
          <w:sz w:val="32"/>
          <w:szCs w:val="32"/>
          <w:u w:val="none"/>
          <w:lang w:val="en-US" w:eastAsia="zh-CN"/>
        </w:rPr>
        <w:t>13</w:t>
      </w:r>
      <w:r>
        <w:rPr>
          <w:rFonts w:hint="eastAsia" w:ascii="仿宋" w:hAnsi="仿宋" w:eastAsia="仿宋" w:cs="Times New Roman"/>
          <w:sz w:val="32"/>
          <w:szCs w:val="32"/>
          <w:u w:val="none"/>
        </w:rPr>
        <w:t>人，其中在职人员</w:t>
      </w:r>
      <w:r>
        <w:rPr>
          <w:rFonts w:hint="eastAsia" w:ascii="仿宋" w:hAnsi="仿宋" w:eastAsia="仿宋" w:cs="Times New Roman"/>
          <w:sz w:val="32"/>
          <w:szCs w:val="32"/>
          <w:u w:val="none"/>
          <w:lang w:val="en-US" w:eastAsia="zh-CN"/>
        </w:rPr>
        <w:t>13</w:t>
      </w:r>
      <w:r>
        <w:rPr>
          <w:rFonts w:hint="eastAsia" w:ascii="仿宋" w:hAnsi="仿宋" w:eastAsia="仿宋" w:cs="Times New Roman"/>
          <w:sz w:val="32"/>
          <w:szCs w:val="32"/>
          <w:u w:val="none"/>
        </w:rPr>
        <w:t>人，离休人员</w:t>
      </w:r>
      <w:r>
        <w:rPr>
          <w:rFonts w:hint="eastAsia" w:ascii="仿宋" w:hAnsi="仿宋" w:eastAsia="仿宋" w:cs="Times New Roman"/>
          <w:sz w:val="32"/>
          <w:szCs w:val="32"/>
          <w:u w:val="none"/>
          <w:lang w:val="en-US" w:eastAsia="zh-CN"/>
        </w:rPr>
        <w:t>0</w:t>
      </w:r>
      <w:r>
        <w:rPr>
          <w:rFonts w:hint="eastAsia" w:ascii="仿宋" w:hAnsi="仿宋" w:eastAsia="仿宋" w:cs="Times New Roman"/>
          <w:sz w:val="32"/>
          <w:szCs w:val="32"/>
          <w:u w:val="none"/>
        </w:rPr>
        <w:t>人，退休人员</w:t>
      </w:r>
      <w:r>
        <w:rPr>
          <w:rFonts w:hint="eastAsia" w:ascii="仿宋" w:hAnsi="仿宋" w:eastAsia="仿宋" w:cs="Times New Roman"/>
          <w:sz w:val="32"/>
          <w:szCs w:val="32"/>
          <w:u w:val="none"/>
          <w:lang w:val="en-US" w:eastAsia="zh-CN"/>
        </w:rPr>
        <w:t>0</w:t>
      </w:r>
      <w:r>
        <w:rPr>
          <w:rFonts w:hint="eastAsia" w:ascii="仿宋" w:hAnsi="仿宋" w:eastAsia="仿宋" w:cs="Times New Roman"/>
          <w:sz w:val="32"/>
          <w:szCs w:val="32"/>
          <w:u w:val="none"/>
        </w:rPr>
        <w:t>人</w:t>
      </w:r>
      <w:r>
        <w:rPr>
          <w:rFonts w:hint="eastAsia" w:ascii="仿宋" w:hAnsi="仿宋" w:eastAsia="仿宋" w:cs="Times New Roman"/>
          <w:sz w:val="32"/>
          <w:szCs w:val="32"/>
          <w:u w:val="none"/>
          <w:lang w:eastAsia="zh-CN"/>
        </w:rPr>
        <w:t>（不含由养老保险基金发放养老金胡离退休人员）</w:t>
      </w:r>
      <w:r>
        <w:rPr>
          <w:rFonts w:hint="eastAsia" w:ascii="仿宋" w:hAnsi="仿宋" w:eastAsia="仿宋" w:cs="Times New Roman"/>
          <w:sz w:val="32"/>
          <w:szCs w:val="32"/>
          <w:u w:val="none"/>
        </w:rPr>
        <w:t>；</w:t>
      </w:r>
      <w:r>
        <w:rPr>
          <w:rFonts w:hint="eastAsia" w:ascii="仿宋" w:hAnsi="仿宋" w:eastAsia="仿宋" w:cs="Times New Roman"/>
          <w:sz w:val="32"/>
          <w:szCs w:val="32"/>
          <w:u w:val="none"/>
          <w:lang w:eastAsia="zh-CN"/>
        </w:rPr>
        <w:t>年末其他人员</w:t>
      </w:r>
      <w:r>
        <w:rPr>
          <w:rFonts w:hint="eastAsia" w:ascii="仿宋" w:hAnsi="仿宋" w:eastAsia="仿宋" w:cs="Times New Roman"/>
          <w:sz w:val="32"/>
          <w:szCs w:val="32"/>
          <w:u w:val="none"/>
          <w:lang w:val="en-US" w:eastAsia="zh-CN"/>
        </w:rPr>
        <w:t>0人；</w:t>
      </w:r>
      <w:r>
        <w:rPr>
          <w:rFonts w:hint="eastAsia" w:ascii="仿宋" w:hAnsi="仿宋" w:eastAsia="仿宋" w:cs="Times New Roman"/>
          <w:sz w:val="32"/>
          <w:szCs w:val="32"/>
          <w:u w:val="none"/>
        </w:rPr>
        <w:t>年末学生人数</w:t>
      </w:r>
      <w:r>
        <w:rPr>
          <w:rFonts w:hint="eastAsia" w:ascii="仿宋" w:hAnsi="仿宋" w:eastAsia="仿宋" w:cs="Times New Roman"/>
          <w:sz w:val="32"/>
          <w:szCs w:val="32"/>
          <w:u w:val="none"/>
          <w:lang w:val="en-US" w:eastAsia="zh-CN"/>
        </w:rPr>
        <w:t>0</w:t>
      </w:r>
      <w:r>
        <w:rPr>
          <w:rFonts w:hint="eastAsia" w:ascii="仿宋" w:hAnsi="仿宋" w:eastAsia="仿宋" w:cs="Times New Roman"/>
          <w:sz w:val="32"/>
          <w:szCs w:val="32"/>
          <w:u w:val="none"/>
        </w:rPr>
        <w:t>人</w:t>
      </w:r>
      <w:r>
        <w:rPr>
          <w:rFonts w:hint="eastAsia" w:ascii="仿宋" w:hAnsi="仿宋" w:eastAsia="仿宋" w:cs="Times New Roman"/>
          <w:sz w:val="32"/>
          <w:szCs w:val="32"/>
          <w:u w:val="none"/>
          <w:lang w:eastAsia="zh-CN"/>
        </w:rPr>
        <w:t>；由养老保险基金发放养老金胡离退休人员</w:t>
      </w:r>
      <w:r>
        <w:rPr>
          <w:rFonts w:hint="eastAsia" w:ascii="仿宋" w:hAnsi="仿宋" w:eastAsia="仿宋" w:cs="Times New Roman"/>
          <w:sz w:val="32"/>
          <w:szCs w:val="32"/>
          <w:u w:val="none"/>
          <w:lang w:val="en-US" w:eastAsia="zh-CN"/>
        </w:rPr>
        <w:t>0人。</w:t>
      </w:r>
    </w:p>
    <w:p>
      <w:pPr>
        <w:spacing w:line="600" w:lineRule="exact"/>
        <w:ind w:firstLine="630"/>
        <w:rPr>
          <w:rFonts w:hint="eastAsia" w:ascii="仿宋" w:hAnsi="仿宋" w:eastAsia="仿宋" w:cs="Times New Roman"/>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numPr>
          <w:ilvl w:val="0"/>
          <w:numId w:val="2"/>
        </w:numPr>
        <w:spacing w:line="600" w:lineRule="exact"/>
        <w:ind w:firstLine="640"/>
        <w:jc w:val="center"/>
        <w:rPr>
          <w:rFonts w:hint="eastAsia" w:ascii="宋体" w:hAnsi="宋体"/>
          <w:b/>
          <w:sz w:val="32"/>
          <w:szCs w:val="32"/>
        </w:rPr>
      </w:pPr>
      <w:r>
        <w:rPr>
          <w:rFonts w:hint="eastAsia" w:ascii="宋体" w:hAnsi="宋体"/>
          <w:b/>
          <w:sz w:val="32"/>
          <w:szCs w:val="32"/>
        </w:rPr>
        <w:t xml:space="preserve"> 202</w:t>
      </w:r>
      <w:r>
        <w:rPr>
          <w:rFonts w:hint="eastAsia" w:ascii="宋体" w:hAnsi="宋体"/>
          <w:b/>
          <w:sz w:val="32"/>
          <w:szCs w:val="32"/>
          <w:lang w:val="en-US" w:eastAsia="zh-CN"/>
        </w:rPr>
        <w:t>1</w:t>
      </w:r>
      <w:r>
        <w:rPr>
          <w:rFonts w:hint="eastAsia" w:ascii="宋体" w:hAnsi="宋体"/>
          <w:b/>
          <w:sz w:val="32"/>
          <w:szCs w:val="32"/>
        </w:rPr>
        <w:t>年度部门决算表</w:t>
      </w:r>
    </w:p>
    <w:p>
      <w:pPr>
        <w:widowControl/>
        <w:numPr>
          <w:ilvl w:val="0"/>
          <w:numId w:val="0"/>
        </w:numPr>
        <w:spacing w:line="600" w:lineRule="exact"/>
        <w:jc w:val="both"/>
        <w:rPr>
          <w:rFonts w:hint="eastAsia" w:ascii="宋体" w:hAnsi="宋体"/>
          <w:b/>
          <w:sz w:val="32"/>
          <w:szCs w:val="32"/>
        </w:rPr>
      </w:pPr>
    </w:p>
    <w:p>
      <w:pPr>
        <w:rPr>
          <w:rFonts w:hint="eastAsia" w:ascii="宋体" w:hAnsi="宋体"/>
          <w:b/>
          <w:sz w:val="32"/>
          <w:szCs w:val="32"/>
        </w:rPr>
      </w:pPr>
      <w:r>
        <w:rPr>
          <w:rFonts w:hint="eastAsia" w:ascii="宋体" w:hAnsi="宋体"/>
          <w:b/>
          <w:sz w:val="32"/>
          <w:szCs w:val="32"/>
        </w:rPr>
        <w:br w:type="page"/>
      </w:r>
    </w:p>
    <w:p>
      <w:pPr>
        <w:widowControl/>
        <w:spacing w:line="600" w:lineRule="exact"/>
        <w:ind w:firstLine="640"/>
        <w:jc w:val="left"/>
        <w:rPr>
          <w:rFonts w:hint="eastAsia" w:ascii="宋体" w:hAnsi="宋体"/>
          <w:b/>
          <w:sz w:val="32"/>
          <w:szCs w:val="32"/>
        </w:rPr>
      </w:pPr>
      <w:r>
        <w:drawing>
          <wp:anchor distT="0" distB="0" distL="114300" distR="114300" simplePos="0" relativeHeight="251659264" behindDoc="0" locked="0" layoutInCell="1" allowOverlap="1">
            <wp:simplePos x="0" y="0"/>
            <wp:positionH relativeFrom="column">
              <wp:posOffset>-236855</wp:posOffset>
            </wp:positionH>
            <wp:positionV relativeFrom="paragraph">
              <wp:posOffset>290830</wp:posOffset>
            </wp:positionV>
            <wp:extent cx="5784215" cy="6011545"/>
            <wp:effectExtent l="0" t="0" r="6985" b="8255"/>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784215" cy="6011545"/>
                    </a:xfrm>
                    <a:prstGeom prst="rect">
                      <a:avLst/>
                    </a:prstGeom>
                    <a:noFill/>
                    <a:ln>
                      <a:noFill/>
                    </a:ln>
                  </pic:spPr>
                </pic:pic>
              </a:graphicData>
            </a:graphic>
          </wp:anchor>
        </w:drawing>
      </w:r>
    </w:p>
    <w:p>
      <w:pPr>
        <w:rPr>
          <w:rFonts w:hint="eastAsia" w:ascii="宋体" w:hAnsi="宋体"/>
          <w:b/>
          <w:sz w:val="32"/>
          <w:szCs w:val="32"/>
        </w:rPr>
      </w:pPr>
      <w:r>
        <w:rPr>
          <w:rFonts w:hint="eastAsia" w:ascii="宋体" w:hAnsi="宋体"/>
          <w:b/>
          <w:sz w:val="32"/>
          <w:szCs w:val="32"/>
        </w:rPr>
        <w:br w:type="page"/>
      </w:r>
    </w:p>
    <w:p>
      <w:pPr>
        <w:rPr>
          <w:rFonts w:hint="eastAsia" w:ascii="宋体" w:hAnsi="宋体"/>
          <w:b/>
          <w:sz w:val="32"/>
          <w:szCs w:val="32"/>
        </w:rPr>
      </w:pPr>
      <w:r>
        <w:drawing>
          <wp:anchor distT="0" distB="0" distL="114300" distR="114300" simplePos="0" relativeHeight="251660288" behindDoc="0" locked="0" layoutInCell="1" allowOverlap="1">
            <wp:simplePos x="0" y="0"/>
            <wp:positionH relativeFrom="column">
              <wp:posOffset>-619125</wp:posOffset>
            </wp:positionH>
            <wp:positionV relativeFrom="paragraph">
              <wp:posOffset>205740</wp:posOffset>
            </wp:positionV>
            <wp:extent cx="6462395" cy="5895340"/>
            <wp:effectExtent l="0" t="0" r="14605" b="1016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6462395" cy="5895340"/>
                    </a:xfrm>
                    <a:prstGeom prst="rect">
                      <a:avLst/>
                    </a:prstGeom>
                    <a:noFill/>
                    <a:ln>
                      <a:noFill/>
                    </a:ln>
                  </pic:spPr>
                </pic:pic>
              </a:graphicData>
            </a:graphic>
          </wp:anchor>
        </w:drawing>
      </w:r>
      <w:r>
        <w:rPr>
          <w:rFonts w:hint="eastAsia" w:ascii="宋体" w:hAnsi="宋体"/>
          <w:b/>
          <w:sz w:val="32"/>
          <w:szCs w:val="32"/>
        </w:rPr>
        <w:br w:type="page"/>
      </w:r>
    </w:p>
    <w:p>
      <w:pPr>
        <w:rPr>
          <w:rFonts w:hint="eastAsia" w:ascii="宋体" w:hAnsi="宋体"/>
          <w:b/>
          <w:sz w:val="32"/>
          <w:szCs w:val="32"/>
        </w:rPr>
      </w:pPr>
      <w:r>
        <w:drawing>
          <wp:anchor distT="0" distB="0" distL="114300" distR="114300" simplePos="0" relativeHeight="251661312" behindDoc="0" locked="0" layoutInCell="1" allowOverlap="1">
            <wp:simplePos x="0" y="0"/>
            <wp:positionH relativeFrom="column">
              <wp:posOffset>-473075</wp:posOffset>
            </wp:positionH>
            <wp:positionV relativeFrom="paragraph">
              <wp:posOffset>243840</wp:posOffset>
            </wp:positionV>
            <wp:extent cx="6092825" cy="5914390"/>
            <wp:effectExtent l="0" t="0" r="3175" b="1016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6092825" cy="5914390"/>
                    </a:xfrm>
                    <a:prstGeom prst="rect">
                      <a:avLst/>
                    </a:prstGeom>
                    <a:noFill/>
                    <a:ln>
                      <a:noFill/>
                    </a:ln>
                  </pic:spPr>
                </pic:pic>
              </a:graphicData>
            </a:graphic>
          </wp:anchor>
        </w:drawing>
      </w:r>
      <w:r>
        <w:rPr>
          <w:rFonts w:hint="eastAsia" w:ascii="宋体" w:hAnsi="宋体"/>
          <w:b/>
          <w:sz w:val="32"/>
          <w:szCs w:val="32"/>
        </w:rPr>
        <w:br w:type="page"/>
      </w:r>
    </w:p>
    <w:p>
      <w:pPr>
        <w:rPr>
          <w:rFonts w:hint="eastAsia" w:ascii="宋体" w:hAnsi="宋体"/>
          <w:b/>
          <w:sz w:val="32"/>
          <w:szCs w:val="32"/>
        </w:rPr>
      </w:pPr>
      <w:r>
        <w:drawing>
          <wp:anchor distT="0" distB="0" distL="114300" distR="114300" simplePos="0" relativeHeight="251662336" behindDoc="0" locked="0" layoutInCell="1" allowOverlap="1">
            <wp:simplePos x="0" y="0"/>
            <wp:positionH relativeFrom="column">
              <wp:posOffset>-793115</wp:posOffset>
            </wp:positionH>
            <wp:positionV relativeFrom="paragraph">
              <wp:posOffset>308610</wp:posOffset>
            </wp:positionV>
            <wp:extent cx="6852285" cy="6831330"/>
            <wp:effectExtent l="0" t="0" r="5715" b="762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6852285" cy="6831330"/>
                    </a:xfrm>
                    <a:prstGeom prst="rect">
                      <a:avLst/>
                    </a:prstGeom>
                    <a:noFill/>
                    <a:ln>
                      <a:noFill/>
                    </a:ln>
                  </pic:spPr>
                </pic:pic>
              </a:graphicData>
            </a:graphic>
          </wp:anchor>
        </w:drawing>
      </w:r>
      <w:r>
        <w:rPr>
          <w:rFonts w:hint="eastAsia" w:ascii="宋体" w:hAnsi="宋体"/>
          <w:b/>
          <w:sz w:val="32"/>
          <w:szCs w:val="32"/>
        </w:rPr>
        <w:br w:type="page"/>
      </w:r>
    </w:p>
    <w:p>
      <w:pPr>
        <w:rPr>
          <w:rFonts w:hint="eastAsia" w:ascii="宋体" w:hAnsi="宋体"/>
          <w:b/>
          <w:sz w:val="32"/>
          <w:szCs w:val="32"/>
        </w:rPr>
      </w:pPr>
      <w:r>
        <w:drawing>
          <wp:anchor distT="0" distB="0" distL="114300" distR="114300" simplePos="0" relativeHeight="251663360" behindDoc="0" locked="0" layoutInCell="1" allowOverlap="1">
            <wp:simplePos x="0" y="0"/>
            <wp:positionH relativeFrom="column">
              <wp:posOffset>-396875</wp:posOffset>
            </wp:positionH>
            <wp:positionV relativeFrom="paragraph">
              <wp:posOffset>238125</wp:posOffset>
            </wp:positionV>
            <wp:extent cx="6154420" cy="6219190"/>
            <wp:effectExtent l="0" t="0" r="17780" b="1016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6154420" cy="6219190"/>
                    </a:xfrm>
                    <a:prstGeom prst="rect">
                      <a:avLst/>
                    </a:prstGeom>
                    <a:noFill/>
                    <a:ln>
                      <a:noFill/>
                    </a:ln>
                  </pic:spPr>
                </pic:pic>
              </a:graphicData>
            </a:graphic>
          </wp:anchor>
        </w:drawing>
      </w:r>
      <w:r>
        <w:rPr>
          <w:rFonts w:hint="eastAsia" w:ascii="宋体" w:hAnsi="宋体"/>
          <w:b/>
          <w:sz w:val="32"/>
          <w:szCs w:val="32"/>
        </w:rPr>
        <w:br w:type="page"/>
      </w:r>
    </w:p>
    <w:p>
      <w:pPr>
        <w:rPr>
          <w:rFonts w:hint="eastAsia" w:ascii="宋体" w:hAnsi="宋体"/>
          <w:b/>
          <w:sz w:val="32"/>
          <w:szCs w:val="32"/>
        </w:rPr>
      </w:pPr>
      <w:r>
        <w:drawing>
          <wp:anchor distT="0" distB="0" distL="114300" distR="114300" simplePos="0" relativeHeight="251664384" behindDoc="0" locked="0" layoutInCell="1" allowOverlap="1">
            <wp:simplePos x="0" y="0"/>
            <wp:positionH relativeFrom="column">
              <wp:posOffset>-209550</wp:posOffset>
            </wp:positionH>
            <wp:positionV relativeFrom="paragraph">
              <wp:posOffset>-34290</wp:posOffset>
            </wp:positionV>
            <wp:extent cx="5776595" cy="8722995"/>
            <wp:effectExtent l="0" t="0" r="14605" b="1905"/>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5776595" cy="8722995"/>
                    </a:xfrm>
                    <a:prstGeom prst="rect">
                      <a:avLst/>
                    </a:prstGeom>
                    <a:noFill/>
                    <a:ln>
                      <a:noFill/>
                    </a:ln>
                  </pic:spPr>
                </pic:pic>
              </a:graphicData>
            </a:graphic>
          </wp:anchor>
        </w:drawing>
      </w:r>
      <w:r>
        <w:rPr>
          <w:rFonts w:hint="eastAsia" w:ascii="宋体" w:hAnsi="宋体"/>
          <w:b/>
          <w:sz w:val="32"/>
          <w:szCs w:val="32"/>
        </w:rPr>
        <w:br w:type="page"/>
      </w:r>
    </w:p>
    <w:p>
      <w:pPr>
        <w:rPr>
          <w:rFonts w:hint="eastAsia" w:ascii="宋体" w:hAnsi="宋体"/>
          <w:b/>
          <w:sz w:val="32"/>
          <w:szCs w:val="32"/>
        </w:rPr>
      </w:pPr>
      <w:r>
        <w:drawing>
          <wp:anchor distT="0" distB="0" distL="114300" distR="114300" simplePos="0" relativeHeight="251665408" behindDoc="0" locked="0" layoutInCell="1" allowOverlap="1">
            <wp:simplePos x="0" y="0"/>
            <wp:positionH relativeFrom="column">
              <wp:posOffset>142875</wp:posOffset>
            </wp:positionH>
            <wp:positionV relativeFrom="paragraph">
              <wp:posOffset>312420</wp:posOffset>
            </wp:positionV>
            <wp:extent cx="4990465" cy="4979035"/>
            <wp:effectExtent l="0" t="0" r="635" b="12065"/>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4990465" cy="4979035"/>
                    </a:xfrm>
                    <a:prstGeom prst="rect">
                      <a:avLst/>
                    </a:prstGeom>
                    <a:noFill/>
                    <a:ln>
                      <a:noFill/>
                    </a:ln>
                  </pic:spPr>
                </pic:pic>
              </a:graphicData>
            </a:graphic>
          </wp:anchor>
        </w:drawing>
      </w:r>
      <w:r>
        <w:rPr>
          <w:rFonts w:hint="eastAsia" w:ascii="宋体" w:hAnsi="宋体"/>
          <w:b/>
          <w:sz w:val="32"/>
          <w:szCs w:val="32"/>
        </w:rPr>
        <w:br w:type="page"/>
      </w:r>
    </w:p>
    <w:p>
      <w:pPr>
        <w:rPr>
          <w:rFonts w:hint="eastAsia" w:ascii="宋体" w:hAnsi="宋体"/>
          <w:b/>
          <w:sz w:val="32"/>
          <w:szCs w:val="32"/>
        </w:rPr>
      </w:pPr>
      <w:r>
        <w:drawing>
          <wp:anchor distT="0" distB="0" distL="114300" distR="114300" simplePos="0" relativeHeight="251666432" behindDoc="0" locked="0" layoutInCell="1" allowOverlap="1">
            <wp:simplePos x="0" y="0"/>
            <wp:positionH relativeFrom="column">
              <wp:posOffset>-219075</wp:posOffset>
            </wp:positionH>
            <wp:positionV relativeFrom="paragraph">
              <wp:posOffset>104775</wp:posOffset>
            </wp:positionV>
            <wp:extent cx="5656580" cy="3056255"/>
            <wp:effectExtent l="0" t="0" r="1270" b="10795"/>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5656580" cy="3056255"/>
                    </a:xfrm>
                    <a:prstGeom prst="rect">
                      <a:avLst/>
                    </a:prstGeom>
                    <a:noFill/>
                    <a:ln>
                      <a:noFill/>
                    </a:ln>
                  </pic:spPr>
                </pic:pic>
              </a:graphicData>
            </a:graphic>
          </wp:anchor>
        </w:drawing>
      </w:r>
    </w:p>
    <w:p>
      <w:pPr>
        <w:rPr>
          <w:rFonts w:hint="eastAsia" w:ascii="宋体" w:hAnsi="宋体" w:eastAsia="宋体"/>
          <w:b/>
          <w:sz w:val="32"/>
          <w:szCs w:val="32"/>
          <w:lang w:eastAsia="zh-CN"/>
        </w:rPr>
      </w:pPr>
      <w:r>
        <w:drawing>
          <wp:anchor distT="0" distB="0" distL="114300" distR="114300" simplePos="0" relativeHeight="251667456" behindDoc="0" locked="0" layoutInCell="1" allowOverlap="1">
            <wp:simplePos x="0" y="0"/>
            <wp:positionH relativeFrom="column">
              <wp:posOffset>-238125</wp:posOffset>
            </wp:positionH>
            <wp:positionV relativeFrom="paragraph">
              <wp:posOffset>120015</wp:posOffset>
            </wp:positionV>
            <wp:extent cx="5687695" cy="3241040"/>
            <wp:effectExtent l="0" t="0" r="8255" b="1651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stretch>
                      <a:fillRect/>
                    </a:stretch>
                  </pic:blipFill>
                  <pic:spPr>
                    <a:xfrm>
                      <a:off x="0" y="0"/>
                      <a:ext cx="5687695" cy="3241040"/>
                    </a:xfrm>
                    <a:prstGeom prst="rect">
                      <a:avLst/>
                    </a:prstGeom>
                    <a:noFill/>
                    <a:ln>
                      <a:noFill/>
                    </a:ln>
                  </pic:spPr>
                </pic:pic>
              </a:graphicData>
            </a:graphic>
          </wp:anchor>
        </w:drawing>
      </w:r>
      <w:r>
        <w:rPr>
          <w:rFonts w:hint="eastAsia" w:ascii="宋体" w:hAnsi="宋体"/>
          <w:b/>
          <w:sz w:val="32"/>
          <w:szCs w:val="32"/>
        </w:rPr>
        <w:br w:type="page"/>
      </w:r>
      <w:r>
        <w:rPr>
          <w:rFonts w:hint="eastAsia" w:ascii="宋体" w:hAnsi="宋体" w:eastAsia="宋体"/>
          <w:b/>
          <w:sz w:val="32"/>
          <w:szCs w:val="32"/>
          <w:lang w:eastAsia="zh-CN"/>
        </w:rPr>
        <w:drawing>
          <wp:inline distT="0" distB="0" distL="114300" distR="114300">
            <wp:extent cx="5269230" cy="2880995"/>
            <wp:effectExtent l="0" t="0" r="1270" b="1905"/>
            <wp:docPr id="11" name="图片 11" descr="1891b0ed7a51a00792d59019f5c2e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891b0ed7a51a00792d59019f5c2e1f"/>
                    <pic:cNvPicPr>
                      <a:picLocks noChangeAspect="1"/>
                    </pic:cNvPicPr>
                  </pic:nvPicPr>
                  <pic:blipFill>
                    <a:blip r:embed="rId13"/>
                    <a:stretch>
                      <a:fillRect/>
                    </a:stretch>
                  </pic:blipFill>
                  <pic:spPr>
                    <a:xfrm>
                      <a:off x="0" y="0"/>
                      <a:ext cx="5269230" cy="2880995"/>
                    </a:xfrm>
                    <a:prstGeom prst="rect">
                      <a:avLst/>
                    </a:prstGeom>
                  </pic:spPr>
                </pic:pic>
              </a:graphicData>
            </a:graphic>
          </wp:inline>
        </w:drawing>
      </w:r>
    </w:p>
    <w:p>
      <w:pPr>
        <w:rPr>
          <w:rFonts w:hint="eastAsia" w:ascii="宋体" w:hAnsi="宋体" w:eastAsia="宋体"/>
          <w:b/>
          <w:sz w:val="32"/>
          <w:szCs w:val="32"/>
          <w:lang w:eastAsia="zh-CN"/>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第三部分  202</w:t>
      </w:r>
      <w:r>
        <w:rPr>
          <w:rFonts w:hint="eastAsia" w:ascii="宋体" w:hAnsi="宋体"/>
          <w:b/>
          <w:sz w:val="32"/>
          <w:szCs w:val="32"/>
          <w:lang w:val="en-US" w:eastAsia="zh-CN"/>
        </w:rPr>
        <w:t>1</w:t>
      </w:r>
      <w:r>
        <w:rPr>
          <w:rFonts w:hint="eastAsia" w:ascii="宋体" w:hAnsi="宋体"/>
          <w:b/>
          <w:sz w:val="32"/>
          <w:szCs w:val="32"/>
        </w:rPr>
        <w:t>年度部门决算情况说明</w:t>
      </w:r>
    </w:p>
    <w:p>
      <w:pPr>
        <w:ind w:firstLine="630"/>
        <w:jc w:val="left"/>
        <w:rPr>
          <w:rFonts w:hint="eastAsia" w:ascii="仿宋" w:hAnsi="仿宋" w:eastAsia="仿宋"/>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spacing w:line="600" w:lineRule="exact"/>
        <w:ind w:firstLine="630"/>
        <w:rPr>
          <w:rFonts w:hint="eastAsia" w:ascii="仿宋" w:hAnsi="仿宋" w:eastAsia="仿宋" w:cs="Times New Roman"/>
          <w:sz w:val="32"/>
          <w:szCs w:val="32"/>
        </w:rPr>
      </w:pPr>
      <w:r>
        <w:rPr>
          <w:rFonts w:hint="eastAsia" w:ascii="仿宋" w:hAnsi="仿宋" w:eastAsia="仿宋" w:cs="Times New Roman"/>
          <w:sz w:val="32"/>
          <w:szCs w:val="32"/>
        </w:rPr>
        <w:t>本部门20</w:t>
      </w:r>
      <w:r>
        <w:rPr>
          <w:rFonts w:hint="eastAsia" w:ascii="仿宋" w:hAnsi="仿宋" w:eastAsia="仿宋" w:cs="Times New Roman"/>
          <w:sz w:val="32"/>
          <w:szCs w:val="32"/>
          <w:lang w:val="en-US" w:eastAsia="zh-CN"/>
        </w:rPr>
        <w:t>21</w:t>
      </w:r>
      <w:r>
        <w:rPr>
          <w:rFonts w:hint="eastAsia" w:ascii="仿宋" w:hAnsi="仿宋" w:eastAsia="仿宋" w:cs="Times New Roman"/>
          <w:sz w:val="32"/>
          <w:szCs w:val="32"/>
        </w:rPr>
        <w:t>年度收入总计</w:t>
      </w:r>
      <w:r>
        <w:rPr>
          <w:rFonts w:hint="eastAsia" w:ascii="仿宋" w:hAnsi="仿宋" w:eastAsia="仿宋" w:cs="Times New Roman"/>
          <w:sz w:val="32"/>
          <w:szCs w:val="32"/>
          <w:lang w:val="en-US" w:eastAsia="zh-CN"/>
        </w:rPr>
        <w:t>980.52</w:t>
      </w:r>
      <w:r>
        <w:rPr>
          <w:rFonts w:hint="eastAsia" w:ascii="仿宋" w:hAnsi="仿宋" w:eastAsia="仿宋" w:cs="Times New Roman"/>
          <w:sz w:val="32"/>
          <w:szCs w:val="32"/>
        </w:rPr>
        <w:t>万元，其中年初结转和结余</w:t>
      </w:r>
      <w:r>
        <w:rPr>
          <w:rFonts w:hint="eastAsia" w:ascii="仿宋" w:hAnsi="仿宋" w:eastAsia="仿宋" w:cs="Times New Roman"/>
          <w:sz w:val="32"/>
          <w:szCs w:val="32"/>
          <w:lang w:val="en-US" w:eastAsia="zh-CN"/>
        </w:rPr>
        <w:t>857.67</w:t>
      </w:r>
      <w:r>
        <w:rPr>
          <w:rFonts w:hint="eastAsia" w:ascii="仿宋" w:hAnsi="仿宋" w:eastAsia="仿宋" w:cs="Times New Roman"/>
          <w:sz w:val="32"/>
          <w:szCs w:val="32"/>
        </w:rPr>
        <w:t>万元，较20</w:t>
      </w:r>
      <w:r>
        <w:rPr>
          <w:rFonts w:hint="eastAsia" w:ascii="仿宋" w:hAnsi="仿宋" w:eastAsia="仿宋" w:cs="Times New Roman"/>
          <w:sz w:val="32"/>
          <w:szCs w:val="32"/>
          <w:lang w:val="en-US" w:eastAsia="zh-CN"/>
        </w:rPr>
        <w:t>20</w:t>
      </w:r>
      <w:r>
        <w:rPr>
          <w:rFonts w:hint="eastAsia" w:ascii="仿宋" w:hAnsi="仿宋" w:eastAsia="仿宋" w:cs="Times New Roman"/>
          <w:sz w:val="32"/>
          <w:szCs w:val="32"/>
        </w:rPr>
        <w:t>年</w:t>
      </w:r>
      <w:r>
        <w:rPr>
          <w:rFonts w:hint="eastAsia" w:ascii="仿宋" w:hAnsi="仿宋" w:eastAsia="仿宋" w:cs="Times New Roman"/>
          <w:sz w:val="32"/>
          <w:szCs w:val="32"/>
          <w:lang w:eastAsia="zh-CN"/>
        </w:rPr>
        <w:t>增加</w:t>
      </w:r>
      <w:r>
        <w:rPr>
          <w:rFonts w:hint="eastAsia" w:ascii="仿宋" w:hAnsi="仿宋" w:eastAsia="仿宋" w:cs="Times New Roman"/>
          <w:sz w:val="32"/>
          <w:szCs w:val="32"/>
          <w:lang w:val="en-US" w:eastAsia="zh-CN"/>
        </w:rPr>
        <w:t>719.15</w:t>
      </w:r>
      <w:r>
        <w:rPr>
          <w:rFonts w:hint="eastAsia" w:ascii="仿宋" w:hAnsi="仿宋" w:eastAsia="仿宋" w:cs="Times New Roman"/>
          <w:sz w:val="32"/>
          <w:szCs w:val="32"/>
        </w:rPr>
        <w:t>万元，增</w:t>
      </w:r>
      <w:r>
        <w:rPr>
          <w:rFonts w:hint="eastAsia" w:ascii="仿宋" w:hAnsi="仿宋" w:eastAsia="仿宋" w:cs="Times New Roman"/>
          <w:sz w:val="32"/>
          <w:szCs w:val="32"/>
          <w:lang w:eastAsia="zh-CN"/>
        </w:rPr>
        <w:t>长</w:t>
      </w:r>
      <w:r>
        <w:rPr>
          <w:rFonts w:hint="eastAsia" w:ascii="仿宋" w:hAnsi="仿宋" w:eastAsia="仿宋" w:cs="Times New Roman"/>
          <w:sz w:val="32"/>
          <w:szCs w:val="32"/>
          <w:lang w:val="en-US" w:eastAsia="zh-CN"/>
        </w:rPr>
        <w:t>519.16</w:t>
      </w:r>
      <w:r>
        <w:rPr>
          <w:rFonts w:hint="eastAsia" w:ascii="仿宋" w:hAnsi="仿宋" w:eastAsia="仿宋" w:cs="Times New Roman"/>
          <w:sz w:val="32"/>
          <w:szCs w:val="32"/>
        </w:rPr>
        <w:t>%；本年收入合计</w:t>
      </w:r>
      <w:r>
        <w:rPr>
          <w:rFonts w:hint="eastAsia" w:ascii="仿宋" w:hAnsi="仿宋" w:eastAsia="仿宋" w:cs="Times New Roman"/>
          <w:sz w:val="32"/>
          <w:szCs w:val="32"/>
          <w:lang w:val="en-US" w:eastAsia="zh-CN"/>
        </w:rPr>
        <w:t>980.52</w:t>
      </w:r>
      <w:r>
        <w:rPr>
          <w:rFonts w:hint="eastAsia" w:ascii="仿宋" w:hAnsi="仿宋" w:eastAsia="仿宋" w:cs="Times New Roman"/>
          <w:sz w:val="32"/>
          <w:szCs w:val="32"/>
        </w:rPr>
        <w:t>万元，较20</w:t>
      </w:r>
      <w:r>
        <w:rPr>
          <w:rFonts w:hint="eastAsia" w:ascii="仿宋" w:hAnsi="仿宋" w:eastAsia="仿宋" w:cs="Times New Roman"/>
          <w:sz w:val="32"/>
          <w:szCs w:val="32"/>
          <w:lang w:val="en-US" w:eastAsia="zh-CN"/>
        </w:rPr>
        <w:t>20</w:t>
      </w:r>
      <w:r>
        <w:rPr>
          <w:rFonts w:hint="eastAsia" w:ascii="仿宋" w:hAnsi="仿宋" w:eastAsia="仿宋" w:cs="Times New Roman"/>
          <w:sz w:val="32"/>
          <w:szCs w:val="32"/>
        </w:rPr>
        <w:t>年</w:t>
      </w:r>
      <w:r>
        <w:rPr>
          <w:rFonts w:hint="eastAsia" w:ascii="仿宋" w:hAnsi="仿宋" w:eastAsia="仿宋" w:cs="Times New Roman"/>
          <w:sz w:val="32"/>
          <w:szCs w:val="32"/>
          <w:lang w:eastAsia="zh-CN"/>
        </w:rPr>
        <w:t>减少</w:t>
      </w:r>
      <w:r>
        <w:rPr>
          <w:rFonts w:hint="eastAsia" w:ascii="仿宋" w:hAnsi="仿宋" w:eastAsia="仿宋" w:cs="Times New Roman"/>
          <w:sz w:val="32"/>
          <w:szCs w:val="32"/>
          <w:lang w:val="en-US" w:eastAsia="zh-CN"/>
        </w:rPr>
        <w:t>1978.6</w:t>
      </w:r>
      <w:r>
        <w:rPr>
          <w:rFonts w:hint="eastAsia" w:ascii="仿宋" w:hAnsi="仿宋" w:eastAsia="仿宋" w:cs="Times New Roman"/>
          <w:sz w:val="32"/>
          <w:szCs w:val="32"/>
        </w:rPr>
        <w:t>万元，</w:t>
      </w:r>
      <w:r>
        <w:rPr>
          <w:rFonts w:hint="eastAsia" w:ascii="仿宋" w:hAnsi="仿宋" w:eastAsia="仿宋" w:cs="Times New Roman"/>
          <w:sz w:val="32"/>
          <w:szCs w:val="32"/>
          <w:lang w:eastAsia="zh-CN"/>
        </w:rPr>
        <w:t>减少</w:t>
      </w:r>
      <w:r>
        <w:rPr>
          <w:rFonts w:hint="eastAsia" w:ascii="仿宋" w:hAnsi="仿宋" w:eastAsia="仿宋" w:cs="Times New Roman"/>
          <w:sz w:val="32"/>
          <w:szCs w:val="32"/>
          <w:lang w:val="en-US" w:eastAsia="zh-CN"/>
        </w:rPr>
        <w:t>66.86</w:t>
      </w:r>
      <w:r>
        <w:rPr>
          <w:rFonts w:hint="eastAsia" w:ascii="仿宋" w:hAnsi="仿宋" w:eastAsia="仿宋" w:cs="Times New Roman"/>
          <w:sz w:val="32"/>
          <w:szCs w:val="32"/>
        </w:rPr>
        <w:t>%，主要原因是：</w:t>
      </w:r>
      <w:r>
        <w:rPr>
          <w:rFonts w:hint="eastAsia" w:ascii="仿宋" w:hAnsi="仿宋" w:eastAsia="仿宋" w:cs="Times New Roman"/>
          <w:sz w:val="32"/>
          <w:szCs w:val="32"/>
          <w:lang w:eastAsia="zh-CN"/>
        </w:rPr>
        <w:t>减少了项目资金</w:t>
      </w:r>
      <w:r>
        <w:rPr>
          <w:rFonts w:hint="eastAsia" w:ascii="仿宋" w:hAnsi="仿宋" w:eastAsia="仿宋" w:cs="Times New Roman"/>
          <w:sz w:val="32"/>
          <w:szCs w:val="32"/>
        </w:rPr>
        <w:t>。</w:t>
      </w:r>
    </w:p>
    <w:p>
      <w:pPr>
        <w:spacing w:line="600" w:lineRule="exact"/>
        <w:ind w:firstLine="630"/>
        <w:rPr>
          <w:rFonts w:hint="eastAsia" w:ascii="仿宋" w:hAnsi="仿宋" w:eastAsia="仿宋" w:cs="Times New Roman"/>
          <w:sz w:val="32"/>
          <w:szCs w:val="32"/>
        </w:rPr>
      </w:pPr>
      <w:r>
        <w:rPr>
          <w:rFonts w:hint="eastAsia" w:ascii="仿宋" w:hAnsi="仿宋" w:eastAsia="仿宋" w:cs="Times New Roman"/>
          <w:sz w:val="32"/>
          <w:szCs w:val="32"/>
        </w:rPr>
        <w:t>本年收入的具体构成为：财政拨款收入</w:t>
      </w:r>
      <w:r>
        <w:rPr>
          <w:rFonts w:hint="eastAsia" w:ascii="仿宋" w:hAnsi="仿宋" w:eastAsia="仿宋" w:cs="Times New Roman"/>
          <w:sz w:val="32"/>
          <w:szCs w:val="32"/>
          <w:lang w:val="en-US" w:eastAsia="zh-CN"/>
        </w:rPr>
        <w:t>979.79</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99.93</w:t>
      </w:r>
      <w:r>
        <w:rPr>
          <w:rFonts w:hint="eastAsia" w:ascii="仿宋" w:hAnsi="仿宋" w:eastAsia="仿宋" w:cs="Times New Roman"/>
          <w:sz w:val="32"/>
          <w:szCs w:val="32"/>
        </w:rPr>
        <w:t>%；事业收入</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%；经营收入</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 xml:space="preserve"> %；其他收入</w:t>
      </w:r>
      <w:r>
        <w:rPr>
          <w:rFonts w:hint="eastAsia" w:ascii="仿宋" w:hAnsi="仿宋" w:eastAsia="仿宋" w:cs="Times New Roman"/>
          <w:sz w:val="32"/>
          <w:szCs w:val="32"/>
          <w:lang w:val="en-US" w:eastAsia="zh-CN"/>
        </w:rPr>
        <w:t>0.73万元，占0.07%</w:t>
      </w:r>
      <w:r>
        <w:rPr>
          <w:rFonts w:hint="eastAsia" w:ascii="仿宋" w:hAnsi="仿宋" w:eastAsia="仿宋" w:cs="Times New Roman"/>
          <w:sz w:val="32"/>
          <w:szCs w:val="32"/>
        </w:rPr>
        <w:t xml:space="preserve">。  </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spacing w:line="600" w:lineRule="exact"/>
        <w:ind w:firstLine="630"/>
        <w:rPr>
          <w:rFonts w:hint="eastAsia" w:ascii="仿宋" w:hAnsi="仿宋" w:eastAsia="仿宋" w:cs="Times New Roman"/>
          <w:sz w:val="32"/>
          <w:szCs w:val="32"/>
          <w:u w:val="none"/>
          <w:lang w:eastAsia="zh-CN"/>
        </w:rPr>
      </w:pPr>
      <w:r>
        <w:rPr>
          <w:rFonts w:hint="eastAsia" w:ascii="仿宋" w:hAnsi="仿宋" w:eastAsia="仿宋" w:cs="Times New Roman"/>
          <w:sz w:val="32"/>
          <w:szCs w:val="32"/>
        </w:rPr>
        <w:t>本部门202</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年度支出总计1,838.19万元，其中本年支出合计1,838.19万元，较20</w:t>
      </w:r>
      <w:r>
        <w:rPr>
          <w:rFonts w:hint="eastAsia" w:ascii="仿宋" w:hAnsi="仿宋" w:eastAsia="仿宋" w:cs="Times New Roman"/>
          <w:sz w:val="32"/>
          <w:szCs w:val="32"/>
          <w:lang w:val="en-US" w:eastAsia="zh-CN"/>
        </w:rPr>
        <w:t>20</w:t>
      </w:r>
      <w:r>
        <w:rPr>
          <w:rFonts w:hint="eastAsia" w:ascii="仿宋" w:hAnsi="仿宋" w:eastAsia="仿宋" w:cs="Times New Roman"/>
          <w:sz w:val="32"/>
          <w:szCs w:val="32"/>
        </w:rPr>
        <w:t>年减少</w:t>
      </w:r>
      <w:r>
        <w:rPr>
          <w:rFonts w:hint="eastAsia" w:ascii="仿宋" w:hAnsi="仿宋" w:eastAsia="仿宋" w:cs="Times New Roman"/>
          <w:sz w:val="32"/>
          <w:szCs w:val="32"/>
          <w:lang w:val="en-US" w:eastAsia="zh-CN"/>
        </w:rPr>
        <w:t>401.78</w:t>
      </w:r>
      <w:r>
        <w:rPr>
          <w:rFonts w:hint="eastAsia" w:ascii="仿宋" w:hAnsi="仿宋" w:eastAsia="仿宋" w:cs="Times New Roman"/>
          <w:sz w:val="32"/>
          <w:szCs w:val="32"/>
        </w:rPr>
        <w:t>万</w:t>
      </w:r>
      <w:r>
        <w:rPr>
          <w:rFonts w:hint="eastAsia" w:ascii="仿宋" w:hAnsi="仿宋" w:eastAsia="仿宋" w:cs="Times New Roman"/>
          <w:sz w:val="32"/>
          <w:szCs w:val="32"/>
          <w:u w:val="none"/>
        </w:rPr>
        <w:t>元，下降</w:t>
      </w:r>
      <w:r>
        <w:rPr>
          <w:rFonts w:hint="eastAsia" w:ascii="仿宋" w:hAnsi="仿宋" w:eastAsia="仿宋" w:cs="Times New Roman"/>
          <w:sz w:val="32"/>
          <w:szCs w:val="32"/>
          <w:u w:val="none"/>
          <w:lang w:val="en-US" w:eastAsia="zh-CN"/>
        </w:rPr>
        <w:t>33.1</w:t>
      </w:r>
      <w:r>
        <w:rPr>
          <w:rFonts w:hint="eastAsia" w:ascii="仿宋" w:hAnsi="仿宋" w:eastAsia="仿宋" w:cs="Times New Roman"/>
          <w:sz w:val="32"/>
          <w:szCs w:val="32"/>
          <w:u w:val="none"/>
        </w:rPr>
        <w:t>%，主要原因是：</w:t>
      </w:r>
      <w:r>
        <w:rPr>
          <w:rFonts w:hint="eastAsia" w:ascii="仿宋" w:hAnsi="仿宋" w:eastAsia="仿宋" w:cs="Times New Roman"/>
          <w:sz w:val="32"/>
          <w:szCs w:val="32"/>
          <w:u w:val="none"/>
          <w:lang w:eastAsia="zh-CN"/>
        </w:rPr>
        <w:t>产业扶贫贷款项目资金减少。</w:t>
      </w:r>
      <w:bookmarkStart w:id="0" w:name="_GoBack"/>
      <w:bookmarkEnd w:id="0"/>
    </w:p>
    <w:p>
      <w:pPr>
        <w:spacing w:line="600" w:lineRule="exact"/>
        <w:ind w:firstLine="630"/>
        <w:rPr>
          <w:rFonts w:hint="eastAsia" w:ascii="仿宋" w:hAnsi="仿宋" w:eastAsia="仿宋" w:cs="Times New Roman"/>
          <w:sz w:val="32"/>
          <w:szCs w:val="32"/>
        </w:rPr>
      </w:pPr>
      <w:r>
        <w:rPr>
          <w:rFonts w:hint="eastAsia" w:ascii="仿宋" w:hAnsi="仿宋" w:eastAsia="仿宋" w:cs="Times New Roman"/>
          <w:sz w:val="32"/>
          <w:szCs w:val="32"/>
        </w:rPr>
        <w:t>本年支出的具体构成为：基本支出</w:t>
      </w:r>
      <w:r>
        <w:rPr>
          <w:rFonts w:hint="eastAsia" w:ascii="仿宋" w:hAnsi="仿宋" w:eastAsia="仿宋" w:cs="Times New Roman"/>
          <w:sz w:val="32"/>
          <w:szCs w:val="32"/>
          <w:lang w:val="en-US" w:eastAsia="zh-CN"/>
        </w:rPr>
        <w:t>103.22</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5.62</w:t>
      </w:r>
      <w:r>
        <w:rPr>
          <w:rFonts w:hint="eastAsia" w:ascii="仿宋" w:hAnsi="仿宋" w:eastAsia="仿宋" w:cs="Times New Roman"/>
          <w:sz w:val="32"/>
          <w:szCs w:val="32"/>
        </w:rPr>
        <w:t>%；项目支出</w:t>
      </w:r>
      <w:r>
        <w:rPr>
          <w:rFonts w:hint="eastAsia" w:ascii="仿宋" w:hAnsi="仿宋" w:eastAsia="仿宋" w:cs="Times New Roman"/>
          <w:sz w:val="32"/>
          <w:szCs w:val="32"/>
          <w:lang w:val="en-US" w:eastAsia="zh-CN"/>
        </w:rPr>
        <w:t>1734.96</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94.38</w:t>
      </w:r>
      <w:r>
        <w:rPr>
          <w:rFonts w:hint="eastAsia" w:ascii="仿宋" w:hAnsi="仿宋" w:eastAsia="仿宋" w:cs="Times New Roman"/>
          <w:sz w:val="32"/>
          <w:szCs w:val="32"/>
        </w:rPr>
        <w:t>%；经营支出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%；其他支出（对附属单位补助支出、上缴上级支出）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w:t>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spacing w:line="600" w:lineRule="exact"/>
        <w:ind w:firstLine="630"/>
        <w:rPr>
          <w:rFonts w:hint="eastAsia" w:ascii="仿宋" w:hAnsi="仿宋" w:eastAsia="仿宋" w:cs="Times New Roman"/>
          <w:sz w:val="32"/>
          <w:szCs w:val="32"/>
        </w:rPr>
      </w:pPr>
      <w:r>
        <w:rPr>
          <w:rFonts w:hint="eastAsia" w:ascii="仿宋" w:hAnsi="仿宋" w:eastAsia="仿宋" w:cs="Times New Roman"/>
          <w:sz w:val="32"/>
          <w:szCs w:val="32"/>
        </w:rPr>
        <w:t>本部门202</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年度财政拨款本年支出年初预算数为</w:t>
      </w:r>
      <w:r>
        <w:rPr>
          <w:rFonts w:hint="eastAsia" w:ascii="仿宋" w:hAnsi="仿宋" w:eastAsia="仿宋" w:cs="Times New Roman"/>
          <w:sz w:val="32"/>
          <w:szCs w:val="32"/>
          <w:lang w:val="en-US" w:eastAsia="zh-CN"/>
        </w:rPr>
        <w:t>1837.12</w:t>
      </w:r>
      <w:r>
        <w:rPr>
          <w:rFonts w:hint="eastAsia" w:ascii="仿宋" w:hAnsi="仿宋" w:eastAsia="仿宋" w:cs="Times New Roman"/>
          <w:sz w:val="32"/>
          <w:szCs w:val="32"/>
        </w:rPr>
        <w:t>万元，决算数为</w:t>
      </w:r>
      <w:r>
        <w:rPr>
          <w:rFonts w:hint="eastAsia" w:ascii="仿宋" w:hAnsi="仿宋" w:eastAsia="仿宋" w:cs="Times New Roman"/>
          <w:sz w:val="32"/>
          <w:szCs w:val="32"/>
          <w:lang w:val="en-US" w:eastAsia="zh-CN"/>
        </w:rPr>
        <w:t>1837.12</w:t>
      </w:r>
      <w:r>
        <w:rPr>
          <w:rFonts w:hint="eastAsia" w:ascii="仿宋" w:hAnsi="仿宋" w:eastAsia="仿宋" w:cs="Times New Roman"/>
          <w:sz w:val="32"/>
          <w:szCs w:val="32"/>
        </w:rPr>
        <w:t>万元，完成年初预算的</w:t>
      </w:r>
      <w:r>
        <w:rPr>
          <w:rFonts w:hint="eastAsia" w:ascii="仿宋" w:hAnsi="仿宋" w:eastAsia="仿宋" w:cs="Times New Roman"/>
          <w:sz w:val="32"/>
          <w:szCs w:val="32"/>
          <w:lang w:val="en-US" w:eastAsia="zh-CN"/>
        </w:rPr>
        <w:t>100</w:t>
      </w:r>
      <w:r>
        <w:rPr>
          <w:rFonts w:hint="eastAsia" w:ascii="仿宋" w:hAnsi="仿宋" w:eastAsia="仿宋" w:cs="Times New Roman"/>
          <w:sz w:val="32"/>
          <w:szCs w:val="32"/>
        </w:rPr>
        <w:t>%。其中：</w:t>
      </w:r>
    </w:p>
    <w:p>
      <w:pPr>
        <w:spacing w:line="600" w:lineRule="exact"/>
        <w:ind w:firstLine="630"/>
        <w:rPr>
          <w:rFonts w:hint="eastAsia" w:ascii="仿宋" w:hAnsi="仿宋" w:eastAsia="仿宋"/>
          <w:sz w:val="30"/>
          <w:szCs w:val="30"/>
          <w:u w:val="none"/>
          <w:lang w:eastAsia="zh-CN"/>
        </w:rPr>
      </w:pPr>
      <w:r>
        <w:rPr>
          <w:rFonts w:hint="eastAsia" w:ascii="仿宋" w:hAnsi="仿宋" w:eastAsia="仿宋" w:cs="Times New Roman"/>
          <w:sz w:val="32"/>
          <w:szCs w:val="32"/>
          <w:lang w:val="en-US" w:eastAsia="zh-CN"/>
        </w:rPr>
        <w:t>金融支出</w:t>
      </w:r>
      <w:r>
        <w:rPr>
          <w:rFonts w:hint="eastAsia" w:ascii="仿宋" w:hAnsi="仿宋" w:eastAsia="仿宋" w:cs="Times New Roman"/>
          <w:sz w:val="32"/>
          <w:szCs w:val="32"/>
        </w:rPr>
        <w:t>为</w:t>
      </w:r>
      <w:r>
        <w:rPr>
          <w:rFonts w:hint="eastAsia" w:ascii="仿宋" w:hAnsi="仿宋" w:eastAsia="仿宋" w:cs="Times New Roman"/>
          <w:sz w:val="32"/>
          <w:szCs w:val="32"/>
          <w:lang w:val="en-US" w:eastAsia="zh-CN"/>
        </w:rPr>
        <w:t>1564.09</w:t>
      </w:r>
      <w:r>
        <w:rPr>
          <w:rFonts w:hint="eastAsia" w:ascii="仿宋" w:hAnsi="仿宋" w:eastAsia="仿宋" w:cs="Times New Roman"/>
          <w:sz w:val="32"/>
          <w:szCs w:val="32"/>
        </w:rPr>
        <w:t>万元，决算数为</w:t>
      </w:r>
      <w:r>
        <w:rPr>
          <w:rFonts w:hint="eastAsia" w:ascii="仿宋" w:hAnsi="仿宋" w:eastAsia="仿宋" w:cs="Times New Roman"/>
          <w:sz w:val="32"/>
          <w:szCs w:val="32"/>
          <w:lang w:val="en-US" w:eastAsia="zh-CN"/>
        </w:rPr>
        <w:t>1564.09</w:t>
      </w:r>
      <w:r>
        <w:rPr>
          <w:rFonts w:hint="eastAsia" w:ascii="仿宋" w:hAnsi="仿宋" w:eastAsia="仿宋" w:cs="Times New Roman"/>
          <w:sz w:val="32"/>
          <w:szCs w:val="32"/>
        </w:rPr>
        <w:t>万元，完成年初预算的</w:t>
      </w:r>
      <w:r>
        <w:rPr>
          <w:rFonts w:hint="eastAsia" w:ascii="仿宋" w:hAnsi="仿宋" w:eastAsia="仿宋" w:cs="Times New Roman"/>
          <w:sz w:val="32"/>
          <w:szCs w:val="32"/>
          <w:lang w:val="en-US" w:eastAsia="zh-CN"/>
        </w:rPr>
        <w:t>100</w:t>
      </w:r>
      <w:r>
        <w:rPr>
          <w:rFonts w:hint="eastAsia" w:ascii="仿宋" w:hAnsi="仿宋" w:eastAsia="仿宋" w:cs="Times New Roman"/>
          <w:sz w:val="32"/>
          <w:szCs w:val="32"/>
        </w:rPr>
        <w:t>%</w:t>
      </w:r>
      <w:r>
        <w:rPr>
          <w:rFonts w:hint="eastAsia" w:ascii="仿宋" w:hAnsi="仿宋" w:eastAsia="仿宋" w:cs="Times New Roman"/>
          <w:sz w:val="32"/>
          <w:szCs w:val="32"/>
          <w:lang w:eastAsia="zh-CN"/>
        </w:rPr>
        <w:t>，</w:t>
      </w:r>
      <w:r>
        <w:rPr>
          <w:rFonts w:hint="eastAsia" w:ascii="仿宋" w:hAnsi="仿宋" w:eastAsia="仿宋" w:cs="Times New Roman"/>
          <w:sz w:val="32"/>
          <w:szCs w:val="32"/>
          <w:u w:val="none"/>
        </w:rPr>
        <w:t>主要原因是：</w:t>
      </w:r>
      <w:r>
        <w:rPr>
          <w:rFonts w:hint="eastAsia" w:ascii="仿宋" w:hAnsi="仿宋" w:eastAsia="仿宋" w:cs="Times New Roman"/>
          <w:sz w:val="32"/>
          <w:szCs w:val="32"/>
          <w:u w:val="none"/>
          <w:lang w:val="en-US" w:eastAsia="zh-CN"/>
        </w:rPr>
        <w:t>完成</w:t>
      </w:r>
      <w:r>
        <w:rPr>
          <w:rFonts w:hint="eastAsia" w:ascii="仿宋" w:hAnsi="仿宋" w:eastAsia="仿宋" w:cs="Times New Roman"/>
          <w:sz w:val="32"/>
          <w:szCs w:val="32"/>
          <w:u w:val="none"/>
          <w:lang w:eastAsia="zh-CN"/>
        </w:rPr>
        <w:t>本年度贴息项目、保险项目资金。</w:t>
      </w:r>
    </w:p>
    <w:p>
      <w:pPr>
        <w:ind w:firstLine="630"/>
        <w:jc w:val="left"/>
        <w:rPr>
          <w:rFonts w:hint="eastAsia" w:ascii="黑体" w:hAnsi="黑体" w:eastAsia="黑体"/>
          <w:sz w:val="30"/>
          <w:szCs w:val="30"/>
          <w:u w:val="none"/>
        </w:rPr>
      </w:pPr>
      <w:r>
        <w:rPr>
          <w:rFonts w:hint="eastAsia" w:ascii="黑体" w:hAnsi="黑体" w:eastAsia="黑体"/>
          <w:sz w:val="30"/>
          <w:szCs w:val="30"/>
          <w:u w:val="none"/>
        </w:rPr>
        <w:t>四、一般公共预算财政拨款基本支出决算情况说明</w:t>
      </w:r>
    </w:p>
    <w:p>
      <w:pPr>
        <w:spacing w:line="600" w:lineRule="exact"/>
        <w:ind w:firstLine="630"/>
        <w:rPr>
          <w:rFonts w:hint="eastAsia" w:ascii="仿宋" w:hAnsi="仿宋" w:eastAsia="仿宋" w:cs="Times New Roman"/>
          <w:sz w:val="32"/>
          <w:szCs w:val="32"/>
          <w:u w:val="none"/>
        </w:rPr>
      </w:pPr>
      <w:r>
        <w:rPr>
          <w:rFonts w:hint="eastAsia" w:ascii="仿宋" w:hAnsi="仿宋" w:eastAsia="仿宋" w:cs="Times New Roman"/>
          <w:sz w:val="32"/>
          <w:szCs w:val="32"/>
          <w:u w:val="none"/>
        </w:rPr>
        <w:t>本部门202</w:t>
      </w:r>
      <w:r>
        <w:rPr>
          <w:rFonts w:hint="eastAsia" w:ascii="仿宋" w:hAnsi="仿宋" w:eastAsia="仿宋" w:cs="Times New Roman"/>
          <w:sz w:val="32"/>
          <w:szCs w:val="32"/>
          <w:u w:val="none"/>
          <w:lang w:val="en-US" w:eastAsia="zh-CN"/>
        </w:rPr>
        <w:t>1</w:t>
      </w:r>
      <w:r>
        <w:rPr>
          <w:rFonts w:hint="eastAsia" w:ascii="仿宋" w:hAnsi="仿宋" w:eastAsia="仿宋" w:cs="Times New Roman"/>
          <w:sz w:val="32"/>
          <w:szCs w:val="32"/>
          <w:u w:val="none"/>
        </w:rPr>
        <w:t>年度一般公共预算财政拨款基本支出102.16万元，其中：</w:t>
      </w:r>
    </w:p>
    <w:p>
      <w:pPr>
        <w:spacing w:line="600" w:lineRule="exact"/>
        <w:ind w:firstLine="630"/>
        <w:rPr>
          <w:rFonts w:hint="eastAsia" w:ascii="仿宋" w:hAnsi="仿宋" w:eastAsia="仿宋" w:cs="Times New Roman"/>
          <w:sz w:val="32"/>
          <w:szCs w:val="32"/>
          <w:u w:val="none"/>
        </w:rPr>
      </w:pPr>
      <w:r>
        <w:rPr>
          <w:rFonts w:hint="eastAsia" w:ascii="仿宋" w:hAnsi="仿宋" w:eastAsia="仿宋" w:cs="Times New Roman"/>
          <w:sz w:val="32"/>
          <w:szCs w:val="32"/>
          <w:u w:val="none"/>
        </w:rPr>
        <w:t>（一）工资福利支出55.58万元，较20</w:t>
      </w:r>
      <w:r>
        <w:rPr>
          <w:rFonts w:hint="eastAsia" w:ascii="仿宋" w:hAnsi="仿宋" w:eastAsia="仿宋" w:cs="Times New Roman"/>
          <w:sz w:val="32"/>
          <w:szCs w:val="32"/>
          <w:u w:val="none"/>
          <w:lang w:val="en-US" w:eastAsia="zh-CN"/>
        </w:rPr>
        <w:t>20</w:t>
      </w:r>
      <w:r>
        <w:rPr>
          <w:rFonts w:hint="eastAsia" w:ascii="仿宋" w:hAnsi="仿宋" w:eastAsia="仿宋" w:cs="Times New Roman"/>
          <w:sz w:val="32"/>
          <w:szCs w:val="32"/>
          <w:u w:val="none"/>
        </w:rPr>
        <w:t>年增加</w:t>
      </w:r>
      <w:r>
        <w:rPr>
          <w:rFonts w:hint="eastAsia" w:ascii="仿宋" w:hAnsi="仿宋" w:eastAsia="仿宋" w:cs="Times New Roman"/>
          <w:sz w:val="32"/>
          <w:szCs w:val="32"/>
          <w:u w:val="none"/>
          <w:lang w:val="en-US" w:eastAsia="zh-CN"/>
        </w:rPr>
        <w:t>17.18</w:t>
      </w:r>
      <w:r>
        <w:rPr>
          <w:rFonts w:hint="eastAsia" w:ascii="仿宋" w:hAnsi="仿宋" w:eastAsia="仿宋" w:cs="Times New Roman"/>
          <w:sz w:val="32"/>
          <w:szCs w:val="32"/>
          <w:u w:val="none"/>
        </w:rPr>
        <w:t xml:space="preserve"> 万元，增长</w:t>
      </w:r>
      <w:r>
        <w:rPr>
          <w:rFonts w:hint="eastAsia" w:ascii="仿宋" w:hAnsi="仿宋" w:eastAsia="仿宋" w:cs="Times New Roman"/>
          <w:sz w:val="32"/>
          <w:szCs w:val="32"/>
          <w:u w:val="none"/>
          <w:lang w:val="en-US" w:eastAsia="zh-CN"/>
        </w:rPr>
        <w:t>44.74</w:t>
      </w:r>
      <w:r>
        <w:rPr>
          <w:rFonts w:hint="eastAsia" w:ascii="仿宋" w:hAnsi="仿宋" w:eastAsia="仿宋" w:cs="Times New Roman"/>
          <w:sz w:val="32"/>
          <w:szCs w:val="32"/>
          <w:u w:val="none"/>
        </w:rPr>
        <w:t>%，主要原因是：</w:t>
      </w:r>
      <w:r>
        <w:rPr>
          <w:rFonts w:hint="eastAsia" w:ascii="仿宋" w:hAnsi="仿宋" w:eastAsia="仿宋" w:cs="Times New Roman"/>
          <w:sz w:val="32"/>
          <w:szCs w:val="32"/>
          <w:u w:val="none"/>
          <w:lang w:eastAsia="zh-CN"/>
        </w:rPr>
        <w:t>正常薪级增加、机构改革人员变动</w:t>
      </w:r>
      <w:r>
        <w:rPr>
          <w:rFonts w:hint="eastAsia" w:ascii="仿宋" w:hAnsi="仿宋" w:eastAsia="仿宋" w:cs="Times New Roman"/>
          <w:sz w:val="32"/>
          <w:szCs w:val="32"/>
          <w:u w:val="none"/>
        </w:rPr>
        <w:t>。</w:t>
      </w:r>
    </w:p>
    <w:p>
      <w:pPr>
        <w:spacing w:line="600" w:lineRule="exact"/>
        <w:ind w:firstLine="630"/>
        <w:rPr>
          <w:rFonts w:hint="eastAsia" w:ascii="仿宋" w:hAnsi="仿宋" w:eastAsia="仿宋" w:cs="Times New Roman"/>
          <w:sz w:val="32"/>
          <w:szCs w:val="32"/>
          <w:u w:val="none"/>
        </w:rPr>
      </w:pPr>
      <w:r>
        <w:rPr>
          <w:rFonts w:hint="eastAsia" w:ascii="仿宋" w:hAnsi="仿宋" w:eastAsia="仿宋" w:cs="Times New Roman"/>
          <w:sz w:val="32"/>
          <w:szCs w:val="32"/>
          <w:u w:val="none"/>
        </w:rPr>
        <w:t>（二）商品和服务支出29.23万元，较20</w:t>
      </w:r>
      <w:r>
        <w:rPr>
          <w:rFonts w:hint="eastAsia" w:ascii="仿宋" w:hAnsi="仿宋" w:eastAsia="仿宋" w:cs="Times New Roman"/>
          <w:sz w:val="32"/>
          <w:szCs w:val="32"/>
          <w:u w:val="none"/>
          <w:lang w:val="en-US" w:eastAsia="zh-CN"/>
        </w:rPr>
        <w:t>20</w:t>
      </w:r>
      <w:r>
        <w:rPr>
          <w:rFonts w:hint="eastAsia" w:ascii="仿宋" w:hAnsi="仿宋" w:eastAsia="仿宋" w:cs="Times New Roman"/>
          <w:sz w:val="32"/>
          <w:szCs w:val="32"/>
          <w:u w:val="none"/>
        </w:rPr>
        <w:t>年</w:t>
      </w:r>
      <w:r>
        <w:rPr>
          <w:rFonts w:hint="eastAsia" w:ascii="仿宋" w:hAnsi="仿宋" w:eastAsia="仿宋" w:cs="Times New Roman"/>
          <w:sz w:val="32"/>
          <w:szCs w:val="32"/>
          <w:u w:val="none"/>
          <w:lang w:eastAsia="zh-CN"/>
        </w:rPr>
        <w:t>增加</w:t>
      </w:r>
      <w:r>
        <w:rPr>
          <w:rFonts w:hint="eastAsia" w:ascii="仿宋" w:hAnsi="仿宋" w:eastAsia="仿宋" w:cs="Times New Roman"/>
          <w:sz w:val="32"/>
          <w:szCs w:val="32"/>
          <w:u w:val="none"/>
          <w:lang w:val="en-US" w:eastAsia="zh-CN"/>
        </w:rPr>
        <w:t>16.74</w:t>
      </w:r>
      <w:r>
        <w:rPr>
          <w:rFonts w:hint="eastAsia" w:ascii="仿宋" w:hAnsi="仿宋" w:eastAsia="仿宋" w:cs="Times New Roman"/>
          <w:sz w:val="32"/>
          <w:szCs w:val="32"/>
          <w:u w:val="none"/>
        </w:rPr>
        <w:t xml:space="preserve"> 万元，</w:t>
      </w:r>
      <w:r>
        <w:rPr>
          <w:rFonts w:hint="eastAsia" w:ascii="仿宋" w:hAnsi="仿宋" w:eastAsia="仿宋" w:cs="Times New Roman"/>
          <w:sz w:val="32"/>
          <w:szCs w:val="32"/>
          <w:u w:val="none"/>
          <w:lang w:eastAsia="zh-CN"/>
        </w:rPr>
        <w:t>增长</w:t>
      </w:r>
      <w:r>
        <w:rPr>
          <w:rFonts w:hint="eastAsia" w:ascii="仿宋" w:hAnsi="仿宋" w:eastAsia="仿宋" w:cs="Times New Roman"/>
          <w:sz w:val="32"/>
          <w:szCs w:val="32"/>
          <w:u w:val="none"/>
          <w:lang w:val="en-US" w:eastAsia="zh-CN"/>
        </w:rPr>
        <w:t>134.03</w:t>
      </w:r>
      <w:r>
        <w:rPr>
          <w:rFonts w:hint="eastAsia" w:ascii="仿宋" w:hAnsi="仿宋" w:eastAsia="仿宋" w:cs="Times New Roman"/>
          <w:sz w:val="32"/>
          <w:szCs w:val="32"/>
          <w:u w:val="none"/>
        </w:rPr>
        <w:t>%，主要原因是：</w:t>
      </w:r>
      <w:r>
        <w:rPr>
          <w:rFonts w:hint="eastAsia" w:ascii="仿宋" w:hAnsi="仿宋" w:eastAsia="仿宋" w:cs="Times New Roman"/>
          <w:sz w:val="32"/>
          <w:szCs w:val="32"/>
          <w:u w:val="none"/>
          <w:lang w:eastAsia="zh-CN"/>
        </w:rPr>
        <w:t>机构改革人员变动</w:t>
      </w:r>
      <w:r>
        <w:rPr>
          <w:rFonts w:hint="eastAsia" w:ascii="仿宋" w:hAnsi="仿宋" w:eastAsia="仿宋" w:cs="Times New Roman"/>
          <w:sz w:val="32"/>
          <w:szCs w:val="32"/>
          <w:u w:val="none"/>
        </w:rPr>
        <w:t>。</w:t>
      </w:r>
    </w:p>
    <w:p>
      <w:pPr>
        <w:spacing w:line="600" w:lineRule="exact"/>
        <w:ind w:firstLine="630"/>
        <w:rPr>
          <w:rFonts w:hint="eastAsia" w:ascii="仿宋" w:hAnsi="仿宋" w:eastAsia="仿宋" w:cs="Times New Roman"/>
          <w:sz w:val="32"/>
          <w:szCs w:val="32"/>
          <w:u w:val="none"/>
        </w:rPr>
      </w:pPr>
      <w:r>
        <w:rPr>
          <w:rFonts w:hint="eastAsia" w:ascii="仿宋" w:hAnsi="仿宋" w:eastAsia="仿宋" w:cs="Times New Roman"/>
          <w:sz w:val="32"/>
          <w:szCs w:val="32"/>
          <w:u w:val="none"/>
        </w:rPr>
        <w:t>（三）对个人和家庭补助支出17.35万元，较20</w:t>
      </w:r>
      <w:r>
        <w:rPr>
          <w:rFonts w:hint="eastAsia" w:ascii="仿宋" w:hAnsi="仿宋" w:eastAsia="仿宋" w:cs="Times New Roman"/>
          <w:sz w:val="32"/>
          <w:szCs w:val="32"/>
          <w:u w:val="none"/>
          <w:lang w:val="en-US" w:eastAsia="zh-CN"/>
        </w:rPr>
        <w:t>20</w:t>
      </w:r>
      <w:r>
        <w:rPr>
          <w:rFonts w:hint="eastAsia" w:ascii="仿宋" w:hAnsi="仿宋" w:eastAsia="仿宋" w:cs="Times New Roman"/>
          <w:sz w:val="32"/>
          <w:szCs w:val="32"/>
          <w:u w:val="none"/>
        </w:rPr>
        <w:t>年</w:t>
      </w:r>
      <w:r>
        <w:rPr>
          <w:rFonts w:hint="eastAsia" w:ascii="仿宋" w:hAnsi="仿宋" w:eastAsia="仿宋" w:cs="Times New Roman"/>
          <w:sz w:val="32"/>
          <w:szCs w:val="32"/>
          <w:u w:val="none"/>
          <w:lang w:eastAsia="zh-CN"/>
        </w:rPr>
        <w:t>减少</w:t>
      </w:r>
      <w:r>
        <w:rPr>
          <w:rFonts w:hint="eastAsia" w:ascii="仿宋" w:hAnsi="仿宋" w:eastAsia="仿宋" w:cs="Times New Roman"/>
          <w:sz w:val="32"/>
          <w:szCs w:val="32"/>
          <w:u w:val="none"/>
          <w:lang w:val="en-US" w:eastAsia="zh-CN"/>
        </w:rPr>
        <w:t>1.04</w:t>
      </w:r>
      <w:r>
        <w:rPr>
          <w:rFonts w:hint="eastAsia" w:ascii="仿宋" w:hAnsi="仿宋" w:eastAsia="仿宋" w:cs="Times New Roman"/>
          <w:sz w:val="32"/>
          <w:szCs w:val="32"/>
          <w:u w:val="none"/>
        </w:rPr>
        <w:t>万元，</w:t>
      </w:r>
      <w:r>
        <w:rPr>
          <w:rFonts w:hint="eastAsia" w:ascii="仿宋" w:hAnsi="仿宋" w:eastAsia="仿宋" w:cs="Times New Roman"/>
          <w:sz w:val="32"/>
          <w:szCs w:val="32"/>
          <w:u w:val="none"/>
          <w:lang w:eastAsia="zh-CN"/>
        </w:rPr>
        <w:t>下降</w:t>
      </w:r>
      <w:r>
        <w:rPr>
          <w:rFonts w:hint="eastAsia" w:ascii="仿宋" w:hAnsi="仿宋" w:eastAsia="仿宋" w:cs="Times New Roman"/>
          <w:sz w:val="32"/>
          <w:szCs w:val="32"/>
          <w:u w:val="none"/>
          <w:lang w:val="en-US" w:eastAsia="zh-CN"/>
        </w:rPr>
        <w:t>5.66</w:t>
      </w:r>
      <w:r>
        <w:rPr>
          <w:rFonts w:hint="eastAsia" w:ascii="仿宋" w:hAnsi="仿宋" w:eastAsia="仿宋" w:cs="Times New Roman"/>
          <w:sz w:val="32"/>
          <w:szCs w:val="32"/>
          <w:u w:val="none"/>
        </w:rPr>
        <w:t xml:space="preserve"> %，主要原因是：</w:t>
      </w:r>
      <w:r>
        <w:rPr>
          <w:rFonts w:hint="eastAsia" w:ascii="仿宋" w:hAnsi="仿宋" w:eastAsia="仿宋" w:cs="Times New Roman"/>
          <w:sz w:val="32"/>
          <w:szCs w:val="32"/>
          <w:u w:val="none"/>
          <w:lang w:eastAsia="zh-CN"/>
        </w:rPr>
        <w:t>机构改革人员变动</w:t>
      </w:r>
      <w:r>
        <w:rPr>
          <w:rFonts w:hint="eastAsia" w:ascii="仿宋" w:hAnsi="仿宋" w:eastAsia="仿宋" w:cs="Times New Roman"/>
          <w:sz w:val="32"/>
          <w:szCs w:val="32"/>
          <w:u w:val="none"/>
        </w:rPr>
        <w:t>。</w:t>
      </w:r>
    </w:p>
    <w:p>
      <w:pPr>
        <w:spacing w:line="600" w:lineRule="exact"/>
        <w:ind w:firstLine="630"/>
        <w:rPr>
          <w:rFonts w:hint="eastAsia" w:ascii="仿宋" w:hAnsi="仿宋" w:eastAsia="仿宋" w:cs="Times New Roman"/>
          <w:sz w:val="32"/>
          <w:szCs w:val="32"/>
          <w:u w:val="none"/>
          <w:lang w:eastAsia="zh-CN"/>
        </w:rPr>
      </w:pPr>
      <w:r>
        <w:rPr>
          <w:rFonts w:hint="eastAsia" w:ascii="仿宋" w:hAnsi="仿宋" w:eastAsia="仿宋" w:cs="Times New Roman"/>
          <w:sz w:val="32"/>
          <w:szCs w:val="32"/>
          <w:u w:val="none"/>
        </w:rPr>
        <w:t>（四）</w:t>
      </w:r>
      <w:r>
        <w:rPr>
          <w:rFonts w:hint="eastAsia" w:ascii="仿宋" w:hAnsi="仿宋" w:eastAsia="仿宋" w:cs="Times New Roman"/>
          <w:sz w:val="32"/>
          <w:szCs w:val="32"/>
          <w:u w:val="none"/>
          <w:lang w:eastAsia="zh-CN"/>
        </w:rPr>
        <w:t>无</w:t>
      </w:r>
      <w:r>
        <w:rPr>
          <w:rFonts w:hint="eastAsia" w:ascii="仿宋" w:hAnsi="仿宋" w:eastAsia="仿宋" w:cs="Times New Roman"/>
          <w:sz w:val="32"/>
          <w:szCs w:val="32"/>
          <w:u w:val="none"/>
        </w:rPr>
        <w:t>资本性支出</w:t>
      </w:r>
      <w:r>
        <w:rPr>
          <w:rFonts w:hint="eastAsia" w:ascii="仿宋" w:hAnsi="仿宋" w:eastAsia="仿宋" w:cs="Times New Roman"/>
          <w:sz w:val="32"/>
          <w:szCs w:val="32"/>
          <w:u w:val="none"/>
          <w:lang w:eastAsia="zh-CN"/>
        </w:rPr>
        <w:t>。</w:t>
      </w:r>
    </w:p>
    <w:p>
      <w:pPr>
        <w:ind w:firstLine="630"/>
        <w:jc w:val="left"/>
        <w:rPr>
          <w:rFonts w:hint="eastAsia" w:ascii="黑体" w:hAnsi="黑体" w:eastAsia="黑体"/>
          <w:sz w:val="30"/>
          <w:szCs w:val="30"/>
          <w:u w:val="none"/>
        </w:rPr>
      </w:pPr>
      <w:r>
        <w:rPr>
          <w:rFonts w:hint="eastAsia" w:ascii="黑体" w:hAnsi="黑体" w:eastAsia="黑体"/>
          <w:sz w:val="30"/>
          <w:szCs w:val="30"/>
          <w:u w:val="none"/>
        </w:rPr>
        <w:t>五、一般公共预算财政拨款“三公”经费支出决算情况说明</w:t>
      </w:r>
    </w:p>
    <w:p>
      <w:pPr>
        <w:spacing w:line="600" w:lineRule="exact"/>
        <w:ind w:firstLine="630"/>
        <w:rPr>
          <w:rFonts w:hint="eastAsia" w:ascii="仿宋" w:hAnsi="仿宋" w:eastAsia="仿宋" w:cs="Times New Roman"/>
          <w:sz w:val="32"/>
          <w:szCs w:val="32"/>
        </w:rPr>
      </w:pPr>
      <w:r>
        <w:rPr>
          <w:rFonts w:hint="eastAsia" w:ascii="仿宋" w:hAnsi="仿宋" w:eastAsia="仿宋" w:cs="Times New Roman"/>
          <w:sz w:val="32"/>
          <w:szCs w:val="32"/>
          <w:u w:val="none"/>
        </w:rPr>
        <w:t>本部门202</w:t>
      </w:r>
      <w:r>
        <w:rPr>
          <w:rFonts w:hint="eastAsia" w:ascii="仿宋" w:hAnsi="仿宋" w:eastAsia="仿宋" w:cs="Times New Roman"/>
          <w:sz w:val="32"/>
          <w:szCs w:val="32"/>
          <w:u w:val="none"/>
          <w:lang w:val="en-US" w:eastAsia="zh-CN"/>
        </w:rPr>
        <w:t>1</w:t>
      </w:r>
      <w:r>
        <w:rPr>
          <w:rFonts w:hint="eastAsia" w:ascii="仿宋" w:hAnsi="仿宋" w:eastAsia="仿宋" w:cs="Times New Roman"/>
          <w:sz w:val="32"/>
          <w:szCs w:val="32"/>
          <w:u w:val="none"/>
        </w:rPr>
        <w:t>年度一般公共预算财政拨款“三公”经费支出年初预算数为0.70万元，决算数为</w:t>
      </w:r>
      <w:r>
        <w:rPr>
          <w:rFonts w:hint="eastAsia" w:ascii="仿宋" w:hAnsi="仿宋" w:eastAsia="仿宋" w:cs="Times New Roman"/>
          <w:sz w:val="32"/>
          <w:szCs w:val="32"/>
          <w:u w:val="none"/>
          <w:lang w:val="en-US" w:eastAsia="zh-CN"/>
        </w:rPr>
        <w:t>0.66</w:t>
      </w:r>
      <w:r>
        <w:rPr>
          <w:rFonts w:hint="eastAsia" w:ascii="仿宋" w:hAnsi="仿宋" w:eastAsia="仿宋" w:cs="Times New Roman"/>
          <w:sz w:val="32"/>
          <w:szCs w:val="32"/>
          <w:u w:val="none"/>
        </w:rPr>
        <w:t>万元</w:t>
      </w:r>
      <w:r>
        <w:rPr>
          <w:rFonts w:hint="eastAsia" w:ascii="仿宋" w:hAnsi="仿宋" w:eastAsia="仿宋" w:cs="Times New Roman"/>
          <w:sz w:val="32"/>
          <w:szCs w:val="32"/>
        </w:rPr>
        <w:t>，完成预算的</w:t>
      </w:r>
      <w:r>
        <w:rPr>
          <w:rFonts w:hint="eastAsia" w:ascii="仿宋" w:hAnsi="仿宋" w:eastAsia="仿宋" w:cs="Times New Roman"/>
          <w:sz w:val="32"/>
          <w:szCs w:val="32"/>
          <w:lang w:val="en-US" w:eastAsia="zh-CN"/>
        </w:rPr>
        <w:t>94.29</w:t>
      </w:r>
      <w:r>
        <w:rPr>
          <w:rFonts w:hint="eastAsia" w:ascii="仿宋" w:hAnsi="仿宋" w:eastAsia="仿宋" w:cs="Times New Roman"/>
          <w:sz w:val="32"/>
          <w:szCs w:val="32"/>
        </w:rPr>
        <w:t>%，决算数较20</w:t>
      </w:r>
      <w:r>
        <w:rPr>
          <w:rFonts w:hint="eastAsia" w:ascii="仿宋" w:hAnsi="仿宋" w:eastAsia="仿宋" w:cs="Times New Roman"/>
          <w:sz w:val="32"/>
          <w:szCs w:val="32"/>
          <w:lang w:val="en-US" w:eastAsia="zh-CN"/>
        </w:rPr>
        <w:t>20</w:t>
      </w:r>
      <w:r>
        <w:rPr>
          <w:rFonts w:hint="eastAsia" w:ascii="仿宋" w:hAnsi="仿宋" w:eastAsia="仿宋" w:cs="Times New Roman"/>
          <w:sz w:val="32"/>
          <w:szCs w:val="32"/>
        </w:rPr>
        <w:t>年减少</w:t>
      </w:r>
      <w:r>
        <w:rPr>
          <w:rFonts w:hint="eastAsia" w:ascii="仿宋" w:hAnsi="仿宋" w:eastAsia="仿宋" w:cs="Times New Roman"/>
          <w:sz w:val="32"/>
          <w:szCs w:val="32"/>
          <w:lang w:val="en-US" w:eastAsia="zh-CN"/>
        </w:rPr>
        <w:t>0.54</w:t>
      </w:r>
      <w:r>
        <w:rPr>
          <w:rFonts w:hint="eastAsia" w:ascii="仿宋" w:hAnsi="仿宋" w:eastAsia="仿宋" w:cs="Times New Roman"/>
          <w:sz w:val="32"/>
          <w:szCs w:val="32"/>
        </w:rPr>
        <w:t>万元，下降</w:t>
      </w:r>
      <w:r>
        <w:rPr>
          <w:rFonts w:hint="eastAsia" w:ascii="仿宋" w:hAnsi="仿宋" w:eastAsia="仿宋" w:cs="Times New Roman"/>
          <w:sz w:val="32"/>
          <w:szCs w:val="32"/>
          <w:lang w:val="en-US" w:eastAsia="zh-CN"/>
        </w:rPr>
        <w:t>45</w:t>
      </w:r>
      <w:r>
        <w:rPr>
          <w:rFonts w:hint="eastAsia" w:ascii="仿宋" w:hAnsi="仿宋" w:eastAsia="仿宋" w:cs="Times New Roman"/>
          <w:sz w:val="32"/>
          <w:szCs w:val="32"/>
        </w:rPr>
        <w:t>%，其中：</w:t>
      </w:r>
    </w:p>
    <w:p>
      <w:pPr>
        <w:spacing w:line="600" w:lineRule="exact"/>
        <w:ind w:firstLine="630"/>
        <w:rPr>
          <w:rFonts w:hint="eastAsia" w:ascii="仿宋" w:hAnsi="仿宋" w:eastAsia="仿宋" w:cs="Times New Roman"/>
          <w:sz w:val="32"/>
          <w:szCs w:val="32"/>
        </w:rPr>
      </w:pPr>
      <w:r>
        <w:rPr>
          <w:rFonts w:hint="eastAsia" w:ascii="仿宋" w:hAnsi="仿宋" w:eastAsia="仿宋" w:cs="Times New Roman"/>
          <w:sz w:val="32"/>
          <w:szCs w:val="32"/>
        </w:rPr>
        <w:t>因公出国（境）支出年初预算数为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万元，决算数为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万元，完成预算的</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%，决算数较</w:t>
      </w:r>
      <w:r>
        <w:rPr>
          <w:rFonts w:hint="eastAsia" w:ascii="仿宋" w:hAnsi="仿宋" w:eastAsia="仿宋" w:cs="Times New Roman"/>
          <w:sz w:val="32"/>
          <w:szCs w:val="32"/>
          <w:lang w:val="en-US" w:eastAsia="zh-CN"/>
        </w:rPr>
        <w:t>2020</w:t>
      </w:r>
      <w:r>
        <w:rPr>
          <w:rFonts w:hint="eastAsia" w:ascii="仿宋" w:hAnsi="仿宋" w:eastAsia="仿宋" w:cs="Times New Roman"/>
          <w:sz w:val="32"/>
          <w:szCs w:val="32"/>
        </w:rPr>
        <w:t>年增加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万元，增长</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w:t>
      </w:r>
      <w:r>
        <w:rPr>
          <w:rFonts w:hint="eastAsia" w:ascii="仿宋" w:hAnsi="仿宋" w:eastAsia="仿宋" w:cs="Times New Roman"/>
          <w:sz w:val="32"/>
          <w:szCs w:val="32"/>
          <w:lang w:eastAsia="zh-CN"/>
        </w:rPr>
        <w:t>，</w:t>
      </w:r>
      <w:r>
        <w:rPr>
          <w:rFonts w:hint="eastAsia" w:ascii="仿宋" w:hAnsi="仿宋" w:eastAsia="仿宋" w:cs="Times New Roman"/>
          <w:sz w:val="32"/>
          <w:szCs w:val="32"/>
          <w:lang w:val="en-US" w:eastAsia="zh-CN"/>
        </w:rPr>
        <w:t>主要原因是：未发生</w:t>
      </w:r>
      <w:r>
        <w:rPr>
          <w:rFonts w:hint="eastAsia" w:ascii="仿宋" w:hAnsi="仿宋" w:eastAsia="仿宋" w:cs="Times New Roman"/>
          <w:sz w:val="32"/>
          <w:szCs w:val="32"/>
        </w:rPr>
        <w:t>公出国（境）支出</w:t>
      </w:r>
      <w:r>
        <w:rPr>
          <w:rFonts w:hint="eastAsia" w:ascii="仿宋" w:hAnsi="仿宋" w:eastAsia="仿宋" w:cs="Times New Roman"/>
          <w:sz w:val="32"/>
          <w:szCs w:val="32"/>
          <w:lang w:eastAsia="zh-CN"/>
        </w:rPr>
        <w:t>。</w:t>
      </w:r>
    </w:p>
    <w:p>
      <w:pPr>
        <w:spacing w:line="600" w:lineRule="exact"/>
        <w:ind w:firstLine="630"/>
        <w:rPr>
          <w:rFonts w:hint="default" w:ascii="仿宋" w:hAnsi="仿宋" w:eastAsia="仿宋" w:cs="Times New Roman"/>
          <w:sz w:val="32"/>
          <w:szCs w:val="32"/>
          <w:lang w:val="en-US" w:eastAsia="zh-CN"/>
        </w:rPr>
      </w:pPr>
      <w:r>
        <w:rPr>
          <w:rFonts w:hint="eastAsia" w:ascii="仿宋" w:hAnsi="仿宋" w:eastAsia="仿宋" w:cs="Times New Roman"/>
          <w:sz w:val="32"/>
          <w:szCs w:val="32"/>
        </w:rPr>
        <w:t>（二）公务接待费支出年初预算数为</w:t>
      </w:r>
      <w:r>
        <w:rPr>
          <w:rFonts w:hint="eastAsia" w:ascii="仿宋" w:hAnsi="仿宋" w:eastAsia="仿宋" w:cs="Times New Roman"/>
          <w:sz w:val="32"/>
          <w:szCs w:val="32"/>
          <w:lang w:val="en-US" w:eastAsia="zh-CN"/>
        </w:rPr>
        <w:t>0.7</w:t>
      </w:r>
      <w:r>
        <w:rPr>
          <w:rFonts w:hint="eastAsia" w:ascii="仿宋" w:hAnsi="仿宋" w:eastAsia="仿宋" w:cs="Times New Roman"/>
          <w:sz w:val="32"/>
          <w:szCs w:val="32"/>
        </w:rPr>
        <w:t>万元，决算数为</w:t>
      </w:r>
      <w:r>
        <w:rPr>
          <w:rFonts w:hint="eastAsia" w:ascii="仿宋" w:hAnsi="仿宋" w:eastAsia="仿宋" w:cs="Times New Roman"/>
          <w:sz w:val="32"/>
          <w:szCs w:val="32"/>
          <w:lang w:val="en-US" w:eastAsia="zh-CN"/>
        </w:rPr>
        <w:t>0.66</w:t>
      </w:r>
      <w:r>
        <w:rPr>
          <w:rFonts w:hint="eastAsia" w:ascii="仿宋" w:hAnsi="仿宋" w:eastAsia="仿宋" w:cs="Times New Roman"/>
          <w:sz w:val="32"/>
          <w:szCs w:val="32"/>
        </w:rPr>
        <w:t>万元，完成预算的</w:t>
      </w:r>
      <w:r>
        <w:rPr>
          <w:rFonts w:hint="eastAsia" w:ascii="仿宋" w:hAnsi="仿宋" w:eastAsia="仿宋" w:cs="Times New Roman"/>
          <w:sz w:val="32"/>
          <w:szCs w:val="32"/>
          <w:lang w:val="en-US" w:eastAsia="zh-CN"/>
        </w:rPr>
        <w:t>94.29</w:t>
      </w:r>
      <w:r>
        <w:rPr>
          <w:rFonts w:hint="eastAsia" w:ascii="仿宋" w:hAnsi="仿宋" w:eastAsia="仿宋" w:cs="Times New Roman"/>
          <w:sz w:val="32"/>
          <w:szCs w:val="32"/>
        </w:rPr>
        <w:t>%，决算数较20</w:t>
      </w:r>
      <w:r>
        <w:rPr>
          <w:rFonts w:hint="eastAsia" w:ascii="仿宋" w:hAnsi="仿宋" w:eastAsia="仿宋" w:cs="Times New Roman"/>
          <w:sz w:val="32"/>
          <w:szCs w:val="32"/>
          <w:lang w:val="en-US" w:eastAsia="zh-CN"/>
        </w:rPr>
        <w:t>20</w:t>
      </w:r>
      <w:r>
        <w:rPr>
          <w:rFonts w:hint="eastAsia" w:ascii="仿宋" w:hAnsi="仿宋" w:eastAsia="仿宋" w:cs="Times New Roman"/>
          <w:sz w:val="32"/>
          <w:szCs w:val="32"/>
        </w:rPr>
        <w:t>年减少</w:t>
      </w:r>
      <w:r>
        <w:rPr>
          <w:rFonts w:hint="eastAsia" w:ascii="仿宋" w:hAnsi="仿宋" w:eastAsia="仿宋" w:cs="Times New Roman"/>
          <w:sz w:val="32"/>
          <w:szCs w:val="32"/>
          <w:lang w:val="en-US" w:eastAsia="zh-CN"/>
        </w:rPr>
        <w:t>0.54</w:t>
      </w:r>
      <w:r>
        <w:rPr>
          <w:rFonts w:hint="eastAsia" w:ascii="仿宋" w:hAnsi="仿宋" w:eastAsia="仿宋" w:cs="Times New Roman"/>
          <w:sz w:val="32"/>
          <w:szCs w:val="32"/>
        </w:rPr>
        <w:t>万元，下降</w:t>
      </w:r>
      <w:r>
        <w:rPr>
          <w:rFonts w:hint="eastAsia" w:ascii="仿宋" w:hAnsi="仿宋" w:eastAsia="仿宋" w:cs="Times New Roman"/>
          <w:sz w:val="32"/>
          <w:szCs w:val="32"/>
          <w:lang w:val="en-US" w:eastAsia="zh-CN"/>
        </w:rPr>
        <w:t>45</w:t>
      </w:r>
      <w:r>
        <w:rPr>
          <w:rFonts w:hint="eastAsia" w:ascii="仿宋" w:hAnsi="仿宋" w:eastAsia="仿宋" w:cs="Times New Roman"/>
          <w:sz w:val="32"/>
          <w:szCs w:val="32"/>
        </w:rPr>
        <w:t>%</w:t>
      </w:r>
      <w:r>
        <w:rPr>
          <w:rFonts w:hint="eastAsia" w:ascii="仿宋" w:hAnsi="仿宋" w:eastAsia="仿宋" w:cs="Times New Roman"/>
          <w:sz w:val="32"/>
          <w:szCs w:val="32"/>
          <w:lang w:eastAsia="zh-CN"/>
        </w:rPr>
        <w:t>，</w:t>
      </w:r>
      <w:r>
        <w:rPr>
          <w:rFonts w:hint="eastAsia" w:ascii="仿宋" w:hAnsi="仿宋" w:eastAsia="仿宋" w:cs="Times New Roman"/>
          <w:sz w:val="32"/>
          <w:szCs w:val="32"/>
          <w:lang w:val="en-US" w:eastAsia="zh-CN"/>
        </w:rPr>
        <w:t>主要原因是</w:t>
      </w:r>
      <w:r>
        <w:rPr>
          <w:rFonts w:hint="eastAsia" w:ascii="仿宋" w:hAnsi="仿宋" w:eastAsia="仿宋" w:cs="Times New Roman"/>
          <w:sz w:val="32"/>
          <w:szCs w:val="32"/>
          <w:lang w:eastAsia="zh-CN"/>
        </w:rPr>
        <w:t>开支减少</w:t>
      </w: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全年公务接待共计接待22批，共计接待66人。</w:t>
      </w:r>
    </w:p>
    <w:p>
      <w:pPr>
        <w:spacing w:line="600" w:lineRule="exact"/>
        <w:ind w:firstLine="630"/>
        <w:rPr>
          <w:rFonts w:hint="eastAsia" w:ascii="仿宋" w:hAnsi="仿宋" w:eastAsia="仿宋" w:cs="Times New Roman"/>
          <w:sz w:val="32"/>
          <w:szCs w:val="32"/>
        </w:rPr>
      </w:pPr>
      <w:r>
        <w:rPr>
          <w:rFonts w:hint="eastAsia" w:ascii="仿宋" w:hAnsi="仿宋" w:eastAsia="仿宋" w:cs="Times New Roman"/>
          <w:sz w:val="32"/>
          <w:szCs w:val="32"/>
        </w:rPr>
        <w:t>（三）公务用车购置及运行维护费支出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万元，其中公务用车购置年初预算数为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万元，决算数为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万元，完成预算的</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%，决算数较2019年增加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万元，增长</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w:t>
      </w:r>
      <w:r>
        <w:rPr>
          <w:rFonts w:hint="eastAsia" w:ascii="仿宋" w:hAnsi="仿宋" w:eastAsia="仿宋" w:cs="Times New Roman"/>
          <w:sz w:val="32"/>
          <w:szCs w:val="32"/>
          <w:lang w:eastAsia="zh-CN"/>
        </w:rPr>
        <w:t>，</w:t>
      </w:r>
      <w:r>
        <w:rPr>
          <w:rFonts w:hint="eastAsia" w:ascii="仿宋" w:hAnsi="仿宋" w:eastAsia="仿宋" w:cs="Times New Roman"/>
          <w:sz w:val="32"/>
          <w:szCs w:val="32"/>
          <w:lang w:val="en-US" w:eastAsia="zh-CN"/>
        </w:rPr>
        <w:t>主要原因是未购置公务用车</w:t>
      </w:r>
      <w:r>
        <w:rPr>
          <w:rFonts w:hint="eastAsia" w:ascii="仿宋" w:hAnsi="仿宋" w:eastAsia="仿宋" w:cs="Times New Roman"/>
          <w:sz w:val="32"/>
          <w:szCs w:val="32"/>
          <w:lang w:eastAsia="zh-CN"/>
        </w:rPr>
        <w:t>，</w:t>
      </w:r>
      <w:r>
        <w:rPr>
          <w:rFonts w:hint="eastAsia" w:ascii="仿宋" w:hAnsi="仿宋" w:eastAsia="仿宋" w:cs="Times New Roman"/>
          <w:sz w:val="32"/>
          <w:szCs w:val="32"/>
          <w:lang w:val="en-US" w:eastAsia="zh-CN"/>
        </w:rPr>
        <w:t>全年购置公务用车0辆</w:t>
      </w:r>
      <w:r>
        <w:rPr>
          <w:rFonts w:hint="eastAsia" w:ascii="仿宋" w:hAnsi="仿宋" w:eastAsia="仿宋" w:cs="Times New Roman"/>
          <w:sz w:val="32"/>
          <w:szCs w:val="32"/>
        </w:rPr>
        <w:t>。公务用车运行维护费支出年初预算数为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万元，决算数为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万元，完成预算的</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 xml:space="preserve"> %，决算数较2019年增加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万元，增长</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 xml:space="preserve"> %</w:t>
      </w:r>
      <w:r>
        <w:rPr>
          <w:rFonts w:hint="eastAsia" w:ascii="仿宋" w:hAnsi="仿宋" w:eastAsia="仿宋" w:cs="Times New Roman"/>
          <w:sz w:val="32"/>
          <w:szCs w:val="32"/>
          <w:lang w:eastAsia="zh-CN"/>
        </w:rPr>
        <w:t>，</w:t>
      </w:r>
      <w:r>
        <w:rPr>
          <w:rFonts w:hint="eastAsia" w:ascii="仿宋" w:hAnsi="仿宋" w:eastAsia="仿宋" w:cs="Times New Roman"/>
          <w:sz w:val="32"/>
          <w:szCs w:val="32"/>
          <w:lang w:val="en-US" w:eastAsia="zh-CN"/>
        </w:rPr>
        <w:t>主要原因是无公务用车</w:t>
      </w:r>
      <w:r>
        <w:rPr>
          <w:rFonts w:hint="eastAsia" w:ascii="仿宋" w:hAnsi="仿宋" w:eastAsia="仿宋" w:cs="Times New Roman"/>
          <w:sz w:val="32"/>
          <w:szCs w:val="32"/>
        </w:rPr>
        <w:t>。</w:t>
      </w:r>
    </w:p>
    <w:p>
      <w:pPr>
        <w:ind w:firstLine="630"/>
        <w:jc w:val="left"/>
        <w:rPr>
          <w:rFonts w:hint="eastAsia"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hint="eastAsia" w:ascii="仿宋" w:hAnsi="仿宋" w:eastAsia="仿宋"/>
          <w:sz w:val="30"/>
          <w:szCs w:val="30"/>
          <w:u w:val="none"/>
        </w:rPr>
      </w:pPr>
      <w:r>
        <w:rPr>
          <w:rFonts w:hint="eastAsia" w:ascii="仿宋" w:hAnsi="仿宋" w:eastAsia="仿宋" w:cs="Times New Roman"/>
          <w:sz w:val="32"/>
          <w:szCs w:val="32"/>
        </w:rPr>
        <w:t>本部门202</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年度机关运行经费支出</w:t>
      </w:r>
      <w:r>
        <w:rPr>
          <w:rFonts w:hint="eastAsia" w:ascii="仿宋" w:hAnsi="仿宋" w:eastAsia="仿宋" w:cs="Times New Roman"/>
          <w:sz w:val="32"/>
          <w:szCs w:val="32"/>
          <w:lang w:val="en-US" w:eastAsia="zh-CN"/>
        </w:rPr>
        <w:t>29.23</w:t>
      </w:r>
      <w:r>
        <w:rPr>
          <w:rFonts w:hint="eastAsia" w:ascii="仿宋" w:hAnsi="仿宋" w:eastAsia="仿宋" w:cs="Times New Roman"/>
          <w:sz w:val="32"/>
          <w:szCs w:val="32"/>
        </w:rPr>
        <w:t>万元，</w:t>
      </w:r>
      <w:r>
        <w:rPr>
          <w:rFonts w:hint="eastAsia" w:ascii="仿宋" w:hAnsi="仿宋" w:eastAsia="仿宋" w:cs="Times New Roman"/>
          <w:sz w:val="32"/>
          <w:szCs w:val="32"/>
          <w:u w:val="none"/>
        </w:rPr>
        <w:t>较年初预算数</w:t>
      </w:r>
      <w:r>
        <w:rPr>
          <w:rFonts w:hint="eastAsia" w:ascii="仿宋" w:hAnsi="仿宋" w:eastAsia="仿宋" w:cs="Times New Roman"/>
          <w:sz w:val="32"/>
          <w:szCs w:val="32"/>
          <w:u w:val="none"/>
          <w:lang w:eastAsia="zh-CN"/>
        </w:rPr>
        <w:t>减少</w:t>
      </w:r>
      <w:r>
        <w:rPr>
          <w:rFonts w:hint="eastAsia" w:ascii="仿宋" w:hAnsi="仿宋" w:eastAsia="仿宋" w:cs="Times New Roman"/>
          <w:sz w:val="32"/>
          <w:szCs w:val="32"/>
          <w:u w:val="none"/>
          <w:lang w:val="en-US" w:eastAsia="zh-CN"/>
        </w:rPr>
        <w:t>22.01</w:t>
      </w:r>
      <w:r>
        <w:rPr>
          <w:rFonts w:hint="eastAsia" w:ascii="仿宋" w:hAnsi="仿宋" w:eastAsia="仿宋" w:cs="Times New Roman"/>
          <w:sz w:val="32"/>
          <w:szCs w:val="32"/>
          <w:u w:val="none"/>
        </w:rPr>
        <w:t>万元，</w:t>
      </w:r>
      <w:r>
        <w:rPr>
          <w:rFonts w:hint="eastAsia" w:ascii="仿宋" w:hAnsi="仿宋" w:eastAsia="仿宋" w:cs="Times New Roman"/>
          <w:sz w:val="32"/>
          <w:szCs w:val="32"/>
          <w:u w:val="none"/>
          <w:lang w:eastAsia="zh-CN"/>
        </w:rPr>
        <w:t>降低</w:t>
      </w:r>
      <w:r>
        <w:rPr>
          <w:rFonts w:hint="eastAsia" w:ascii="仿宋" w:hAnsi="仿宋" w:eastAsia="仿宋" w:cs="Times New Roman"/>
          <w:sz w:val="32"/>
          <w:szCs w:val="32"/>
          <w:u w:val="none"/>
          <w:lang w:val="en-US" w:eastAsia="zh-CN"/>
        </w:rPr>
        <w:t>63.77</w:t>
      </w:r>
      <w:r>
        <w:rPr>
          <w:rFonts w:hint="eastAsia" w:ascii="仿宋" w:hAnsi="仿宋" w:eastAsia="仿宋" w:cs="Times New Roman"/>
          <w:sz w:val="32"/>
          <w:szCs w:val="32"/>
          <w:u w:val="none"/>
        </w:rPr>
        <w:t>%，主要原因是：</w:t>
      </w:r>
      <w:r>
        <w:rPr>
          <w:rFonts w:hint="eastAsia" w:ascii="仿宋" w:hAnsi="仿宋" w:eastAsia="仿宋" w:cs="Times New Roman"/>
          <w:sz w:val="32"/>
          <w:szCs w:val="32"/>
          <w:u w:val="none"/>
          <w:lang w:eastAsia="zh-CN"/>
        </w:rPr>
        <w:t>办公设施购置经费减少</w:t>
      </w:r>
      <w:r>
        <w:rPr>
          <w:rFonts w:hint="eastAsia" w:ascii="仿宋" w:hAnsi="仿宋" w:eastAsia="仿宋" w:cs="Times New Roman"/>
          <w:sz w:val="32"/>
          <w:szCs w:val="32"/>
          <w:u w:val="none"/>
        </w:rPr>
        <w:t xml:space="preserve">。 </w:t>
      </w:r>
    </w:p>
    <w:p>
      <w:pPr>
        <w:ind w:firstLine="630"/>
        <w:jc w:val="left"/>
        <w:rPr>
          <w:rFonts w:ascii="黑体" w:hAnsi="黑体" w:eastAsia="黑体"/>
          <w:sz w:val="30"/>
          <w:szCs w:val="30"/>
        </w:rPr>
      </w:pPr>
      <w:r>
        <w:rPr>
          <w:rFonts w:hint="eastAsia" w:ascii="仿宋" w:hAnsi="仿宋" w:eastAsia="仿宋"/>
          <w:sz w:val="30"/>
          <w:szCs w:val="30"/>
        </w:rPr>
        <w:t xml:space="preserve"> </w:t>
      </w:r>
      <w:r>
        <w:rPr>
          <w:rFonts w:hint="eastAsia" w:ascii="黑体" w:hAnsi="黑体" w:eastAsia="黑体"/>
          <w:sz w:val="30"/>
          <w:szCs w:val="30"/>
        </w:rPr>
        <w:t>七、政府采购支出情况说明</w:t>
      </w:r>
    </w:p>
    <w:p>
      <w:pPr>
        <w:pStyle w:val="4"/>
        <w:spacing w:line="600" w:lineRule="atLeast"/>
        <w:ind w:firstLine="600"/>
        <w:rPr>
          <w:rFonts w:hint="eastAsia" w:ascii="仿宋" w:hAnsi="仿宋" w:eastAsia="仿宋" w:cs="Times New Roman"/>
          <w:kern w:val="2"/>
          <w:sz w:val="32"/>
          <w:szCs w:val="32"/>
          <w:lang w:val="en-US" w:eastAsia="zh-CN"/>
        </w:rPr>
      </w:pPr>
      <w:r>
        <w:rPr>
          <w:rFonts w:hint="eastAsia" w:ascii="仿宋" w:hAnsi="仿宋" w:eastAsia="仿宋" w:cs="Times New Roman"/>
          <w:kern w:val="2"/>
          <w:sz w:val="32"/>
          <w:szCs w:val="32"/>
          <w:lang w:val="en-US" w:eastAsia="zh-CN"/>
        </w:rPr>
        <w:t>本部门2021年度政府采购支出总额0万元，其中：政府采购货物支出0万元、政府采购工程支出0万元、政府采购服务支出0万元。授予中小企业合同金额0万元，占政府采购支出总额的0%。</w:t>
      </w:r>
    </w:p>
    <w:p>
      <w:pPr>
        <w:ind w:firstLine="630"/>
        <w:jc w:val="left"/>
        <w:rPr>
          <w:rFonts w:hint="eastAsia" w:ascii="黑体" w:hAnsi="黑体" w:eastAsia="黑体"/>
          <w:sz w:val="30"/>
          <w:szCs w:val="30"/>
        </w:rPr>
      </w:pPr>
      <w:r>
        <w:rPr>
          <w:rFonts w:hint="eastAsia" w:ascii="黑体" w:hAnsi="黑体" w:eastAsia="黑体"/>
          <w:sz w:val="30"/>
          <w:szCs w:val="30"/>
        </w:rPr>
        <w:t>八、国有资产占用情况说明。</w:t>
      </w:r>
    </w:p>
    <w:p>
      <w:pPr>
        <w:pStyle w:val="4"/>
        <w:spacing w:line="600" w:lineRule="atLeast"/>
        <w:ind w:firstLine="600"/>
        <w:rPr>
          <w:rFonts w:hint="eastAsia" w:ascii="仿宋" w:hAnsi="仿宋" w:eastAsia="仿宋" w:cs="Times New Roman"/>
          <w:kern w:val="2"/>
          <w:sz w:val="32"/>
          <w:szCs w:val="32"/>
          <w:lang w:val="en-US" w:eastAsia="zh-CN"/>
        </w:rPr>
      </w:pPr>
      <w:r>
        <w:rPr>
          <w:rFonts w:hint="eastAsia" w:ascii="仿宋" w:hAnsi="仿宋" w:eastAsia="仿宋" w:cs="Times New Roman"/>
          <w:kern w:val="2"/>
          <w:sz w:val="32"/>
          <w:szCs w:val="32"/>
          <w:lang w:val="en-US" w:eastAsia="zh-CN"/>
        </w:rPr>
        <w:t>截止2021年12月31日，本部门国有资产占用情况见公开10表《国有资产占用情况表》。</w:t>
      </w:r>
    </w:p>
    <w:p>
      <w:pPr>
        <w:ind w:firstLine="630"/>
        <w:jc w:val="left"/>
        <w:rPr>
          <w:rFonts w:hint="eastAsia" w:ascii="黑体" w:hAnsi="黑体" w:eastAsia="黑体"/>
          <w:sz w:val="30"/>
          <w:szCs w:val="30"/>
          <w:u w:val="none"/>
        </w:rPr>
      </w:pPr>
      <w:r>
        <w:rPr>
          <w:rFonts w:hint="eastAsia" w:ascii="黑体" w:hAnsi="黑体" w:eastAsia="黑体"/>
          <w:sz w:val="30"/>
          <w:szCs w:val="30"/>
          <w:u w:val="none"/>
        </w:rPr>
        <w:t>九、预算绩效情况说明</w:t>
      </w:r>
    </w:p>
    <w:p>
      <w:pPr>
        <w:pStyle w:val="4"/>
        <w:spacing w:line="600" w:lineRule="atLeast"/>
        <w:ind w:firstLine="600"/>
        <w:rPr>
          <w:rFonts w:hint="eastAsia" w:ascii="仿宋" w:hAnsi="仿宋" w:eastAsia="仿宋" w:cs="Times New Roman"/>
          <w:kern w:val="2"/>
          <w:sz w:val="32"/>
          <w:szCs w:val="32"/>
          <w:u w:val="none"/>
          <w:lang w:val="en-US" w:eastAsia="zh-CN"/>
        </w:rPr>
      </w:pPr>
      <w:r>
        <w:rPr>
          <w:rFonts w:hint="eastAsia" w:ascii="仿宋" w:hAnsi="仿宋" w:eastAsia="仿宋" w:cs="仿宋_GB2312"/>
          <w:kern w:val="0"/>
          <w:sz w:val="30"/>
          <w:szCs w:val="30"/>
          <w:u w:val="none"/>
        </w:rPr>
        <w:t xml:space="preserve">  </w:t>
      </w:r>
      <w:r>
        <w:rPr>
          <w:rFonts w:hint="eastAsia" w:ascii="仿宋" w:hAnsi="仿宋" w:eastAsia="仿宋" w:cs="Times New Roman"/>
          <w:kern w:val="2"/>
          <w:sz w:val="32"/>
          <w:szCs w:val="32"/>
          <w:u w:val="none"/>
          <w:lang w:val="en-US" w:eastAsia="zh-CN"/>
        </w:rPr>
        <w:t>（一）绩效管理工作开展情况</w:t>
      </w:r>
    </w:p>
    <w:p>
      <w:pPr>
        <w:autoSpaceDE w:val="0"/>
        <w:autoSpaceDN w:val="0"/>
        <w:adjustRightInd w:val="0"/>
        <w:spacing w:line="360" w:lineRule="auto"/>
        <w:ind w:firstLine="640" w:firstLineChars="200"/>
        <w:jc w:val="left"/>
        <w:rPr>
          <w:rFonts w:hint="eastAsia" w:ascii="仿宋" w:hAnsi="仿宋" w:eastAsia="仿宋" w:cs="仿宋_GB2312"/>
          <w:kern w:val="0"/>
          <w:sz w:val="32"/>
          <w:szCs w:val="32"/>
          <w:highlight w:val="none"/>
        </w:rPr>
      </w:pPr>
      <w:r>
        <w:rPr>
          <w:rFonts w:hint="eastAsia" w:ascii="仿宋" w:hAnsi="仿宋" w:eastAsia="仿宋" w:cs="仿宋_GB2312"/>
          <w:kern w:val="0"/>
          <w:sz w:val="32"/>
          <w:szCs w:val="32"/>
          <w:highlight w:val="none"/>
        </w:rPr>
        <w:t>根据预算绩效管理要求，我部门组织对2021年度一般公共预算项目支出全面开展绩效自评，其中，一级项目三个，共涉及资金657.76万元，占一般公共预算项目支出总额的98.52%，达到绩效评价目标。</w:t>
      </w:r>
    </w:p>
    <w:p>
      <w:pPr>
        <w:autoSpaceDE w:val="0"/>
        <w:autoSpaceDN w:val="0"/>
        <w:adjustRightInd w:val="0"/>
        <w:spacing w:line="360" w:lineRule="auto"/>
        <w:ind w:firstLine="640" w:firstLineChars="200"/>
        <w:jc w:val="left"/>
        <w:rPr>
          <w:rFonts w:hint="eastAsia" w:ascii="仿宋" w:hAnsi="仿宋" w:eastAsia="仿宋" w:cs="仿宋_GB2312"/>
          <w:kern w:val="0"/>
          <w:sz w:val="32"/>
          <w:szCs w:val="32"/>
          <w:highlight w:val="none"/>
        </w:rPr>
      </w:pPr>
      <w:r>
        <w:rPr>
          <w:rFonts w:hint="eastAsia" w:ascii="仿宋" w:hAnsi="仿宋" w:eastAsia="仿宋" w:cs="仿宋_GB2312"/>
          <w:kern w:val="0"/>
          <w:sz w:val="32"/>
          <w:szCs w:val="32"/>
          <w:highlight w:val="none"/>
        </w:rPr>
        <w:t>组织对“2021年银行考核奖励资金、综合保险项目绩效”等</w:t>
      </w:r>
      <w:r>
        <w:rPr>
          <w:rFonts w:hint="eastAsia" w:ascii="仿宋" w:hAnsi="仿宋" w:eastAsia="仿宋" w:cs="仿宋_GB2312"/>
          <w:kern w:val="0"/>
          <w:sz w:val="32"/>
          <w:szCs w:val="32"/>
          <w:highlight w:val="none"/>
          <w:lang w:val="en-US" w:eastAsia="zh-CN"/>
        </w:rPr>
        <w:t>2</w:t>
      </w:r>
      <w:r>
        <w:rPr>
          <w:rFonts w:hint="eastAsia" w:ascii="仿宋" w:hAnsi="仿宋" w:eastAsia="仿宋" w:cs="仿宋_GB2312"/>
          <w:kern w:val="0"/>
          <w:sz w:val="32"/>
          <w:szCs w:val="32"/>
          <w:highlight w:val="none"/>
        </w:rPr>
        <w:t>个部门（单位）开展整体支出绩效评价试点，涉及一般公共预算支出</w:t>
      </w:r>
      <w:r>
        <w:rPr>
          <w:rFonts w:hint="eastAsia" w:ascii="仿宋" w:hAnsi="仿宋" w:eastAsia="仿宋" w:cs="仿宋_GB2312"/>
          <w:kern w:val="0"/>
          <w:sz w:val="32"/>
          <w:szCs w:val="32"/>
          <w:highlight w:val="none"/>
          <w:lang w:val="en-US" w:eastAsia="zh-CN"/>
        </w:rPr>
        <w:t>637.76</w:t>
      </w:r>
      <w:r>
        <w:rPr>
          <w:rFonts w:hint="eastAsia" w:ascii="仿宋" w:hAnsi="仿宋" w:eastAsia="仿宋" w:cs="仿宋_GB2312"/>
          <w:kern w:val="0"/>
          <w:sz w:val="32"/>
          <w:szCs w:val="32"/>
          <w:highlight w:val="none"/>
        </w:rPr>
        <w:t>万元，政府性基金预算支出 0 万元。从评价情况来看，部门能够积极履行职责职能，能够严格按照财经法律法规及相关制度，对资金进行管理和使用，强化资金效能，确保资金绩效。</w:t>
      </w:r>
    </w:p>
    <w:p>
      <w:pPr>
        <w:pStyle w:val="4"/>
        <w:spacing w:line="600" w:lineRule="atLeast"/>
        <w:ind w:firstLine="600"/>
        <w:rPr>
          <w:rFonts w:hint="eastAsia" w:ascii="仿宋" w:hAnsi="仿宋" w:eastAsia="仿宋" w:cs="Times New Roman"/>
          <w:kern w:val="2"/>
          <w:sz w:val="32"/>
          <w:szCs w:val="32"/>
          <w:highlight w:val="none"/>
          <w:u w:val="none"/>
          <w:lang w:val="en-US" w:eastAsia="zh-CN"/>
        </w:rPr>
      </w:pPr>
      <w:r>
        <w:rPr>
          <w:rFonts w:hint="eastAsia" w:ascii="仿宋" w:hAnsi="仿宋" w:eastAsia="仿宋" w:cs="Times New Roman"/>
          <w:kern w:val="2"/>
          <w:sz w:val="32"/>
          <w:szCs w:val="32"/>
          <w:highlight w:val="none"/>
          <w:u w:val="none"/>
          <w:lang w:val="en-US" w:eastAsia="zh-CN"/>
        </w:rPr>
        <w:t>（二）部门决算中项目绩效自评结果</w:t>
      </w:r>
    </w:p>
    <w:p>
      <w:pPr>
        <w:pStyle w:val="4"/>
        <w:spacing w:line="600" w:lineRule="atLeast"/>
        <w:ind w:firstLine="600"/>
        <w:rPr>
          <w:rFonts w:hint="eastAsia" w:ascii="仿宋" w:hAnsi="仿宋" w:eastAsia="仿宋" w:cs="Times New Roman"/>
          <w:kern w:val="2"/>
          <w:sz w:val="32"/>
          <w:szCs w:val="32"/>
          <w:highlight w:val="none"/>
          <w:u w:val="none"/>
          <w:lang w:val="en-US" w:eastAsia="zh-CN"/>
        </w:rPr>
      </w:pPr>
      <w:r>
        <w:rPr>
          <w:rFonts w:hint="eastAsia" w:ascii="仿宋" w:hAnsi="仿宋" w:eastAsia="仿宋" w:cs="Times New Roman"/>
          <w:kern w:val="2"/>
          <w:sz w:val="32"/>
          <w:szCs w:val="32"/>
          <w:highlight w:val="none"/>
          <w:u w:val="none"/>
          <w:lang w:val="en-US" w:eastAsia="zh-CN"/>
        </w:rPr>
        <w:t>我部门今年在省级部门决算中反映2021年县域经济发展银行考核自评结果。</w:t>
      </w:r>
    </w:p>
    <w:p>
      <w:pPr>
        <w:autoSpaceDE w:val="0"/>
        <w:autoSpaceDN w:val="0"/>
        <w:adjustRightInd w:val="0"/>
        <w:spacing w:line="360" w:lineRule="auto"/>
        <w:ind w:firstLine="585"/>
        <w:jc w:val="left"/>
        <w:rPr>
          <w:rFonts w:hint="eastAsia" w:ascii="仿宋" w:hAnsi="仿宋" w:eastAsia="仿宋" w:cs="Times New Roman"/>
          <w:kern w:val="2"/>
          <w:sz w:val="32"/>
          <w:szCs w:val="32"/>
          <w:highlight w:val="yellow"/>
          <w:u w:val="single"/>
          <w:lang w:val="en-US" w:eastAsia="zh-CN"/>
        </w:rPr>
      </w:pPr>
      <w:r>
        <w:rPr>
          <w:rFonts w:hint="eastAsia" w:ascii="仿宋" w:hAnsi="仿宋" w:eastAsia="仿宋" w:cs="Times New Roman"/>
          <w:kern w:val="2"/>
          <w:sz w:val="32"/>
          <w:szCs w:val="32"/>
          <w:highlight w:val="none"/>
          <w:u w:val="none"/>
          <w:lang w:val="en-US" w:eastAsia="zh-CN"/>
        </w:rPr>
        <w:t>2021年县域经济发展银行考核项目绩效自评综述：根据年初设定的绩效目标，县域经济发展银行考核项目绩效自评得分为98分以上。项目全年预算数为199.56万元，执行数为199.56万元，完成预算的100%。主要产出和效果：充分发挥考核指挥棒的作用，</w:t>
      </w:r>
      <w:r>
        <w:rPr>
          <w:rFonts w:hint="eastAsia" w:ascii="仿宋_GB2312" w:hAnsi="仿宋_GB2312" w:eastAsia="仿宋_GB2312" w:cs="仿宋_GB2312"/>
          <w:color w:val="auto"/>
          <w:kern w:val="0"/>
          <w:sz w:val="32"/>
          <w:szCs w:val="32"/>
          <w:u w:val="none"/>
          <w:lang w:val="en-US" w:eastAsia="zh-CN" w:bidi="hi-IN"/>
        </w:rPr>
        <w:t>对我</w:t>
      </w:r>
      <w:r>
        <w:rPr>
          <w:rFonts w:hint="eastAsia" w:ascii="仿宋_GB2312" w:hAnsi="仿宋_GB2312" w:eastAsia="仿宋_GB2312" w:cs="仿宋_GB2312"/>
          <w:color w:val="auto"/>
          <w:kern w:val="0"/>
          <w:sz w:val="32"/>
          <w:szCs w:val="32"/>
          <w:lang w:val="en-US" w:eastAsia="zh-CN" w:bidi="hi-IN"/>
        </w:rPr>
        <w:t>县范围内支持本地经济发展的金融机构按照文件考核指标给与奖励。发现的问题及原因：</w:t>
      </w:r>
      <w:r>
        <w:rPr>
          <w:rFonts w:hint="eastAsia" w:ascii="仿宋" w:hAnsi="仿宋" w:eastAsia="仿宋" w:cs="仿宋_GB2312"/>
          <w:kern w:val="0"/>
          <w:sz w:val="32"/>
          <w:szCs w:val="32"/>
        </w:rPr>
        <w:t>一是部门业务人员对绩效评价工作的开展还不太精通。下一步改进措施：一是单位部门督促相关人员加强自身业务学习，工作上要强化沟通对接，默契配合，共同把绩效评价工作做好；二是希望有关部门能对单位加强预算绩效评价方面的业务培训与指导。</w:t>
      </w:r>
    </w:p>
    <w:p>
      <w:pPr>
        <w:pStyle w:val="4"/>
        <w:spacing w:line="600" w:lineRule="atLeast"/>
        <w:ind w:firstLine="600"/>
        <w:rPr>
          <w:rFonts w:hint="eastAsia" w:ascii="仿宋" w:hAnsi="仿宋" w:eastAsia="仿宋" w:cs="Times New Roman"/>
          <w:kern w:val="2"/>
          <w:sz w:val="32"/>
          <w:szCs w:val="32"/>
          <w:highlight w:val="none"/>
          <w:u w:val="none"/>
          <w:lang w:val="en-US" w:eastAsia="zh-CN"/>
        </w:rPr>
      </w:pPr>
      <w:r>
        <w:rPr>
          <w:rFonts w:hint="eastAsia" w:ascii="仿宋" w:hAnsi="仿宋" w:eastAsia="仿宋" w:cs="Times New Roman"/>
          <w:kern w:val="2"/>
          <w:sz w:val="32"/>
          <w:szCs w:val="32"/>
          <w:highlight w:val="none"/>
          <w:u w:val="none"/>
          <w:lang w:val="en-US" w:eastAsia="zh-CN"/>
        </w:rPr>
        <w:t>（三）部门评价项目绩效评价结果</w:t>
      </w:r>
    </w:p>
    <w:p>
      <w:pPr>
        <w:rPr>
          <w:rFonts w:hint="eastAsia" w:ascii="仿宋" w:hAnsi="仿宋" w:eastAsia="仿宋" w:cs="Times New Roman"/>
          <w:kern w:val="2"/>
          <w:sz w:val="32"/>
          <w:szCs w:val="32"/>
          <w:highlight w:val="none"/>
          <w:u w:val="none"/>
          <w:lang w:val="en-US" w:eastAsia="zh-CN"/>
        </w:rPr>
      </w:pPr>
      <w:r>
        <w:rPr>
          <w:rFonts w:hint="eastAsia" w:ascii="仿宋" w:hAnsi="仿宋" w:eastAsia="仿宋" w:cs="Times New Roman"/>
          <w:kern w:val="2"/>
          <w:sz w:val="32"/>
          <w:szCs w:val="32"/>
          <w:highlight w:val="none"/>
          <w:u w:val="none"/>
          <w:lang w:val="en-US" w:eastAsia="zh-CN"/>
        </w:rPr>
        <w:t>支出绩效评价表</w:t>
      </w:r>
    </w:p>
    <w:p>
      <w:pPr>
        <w:rPr>
          <w:rFonts w:hint="eastAsia" w:ascii="仿宋" w:hAnsi="仿宋" w:eastAsia="仿宋" w:cs="Times New Roman"/>
          <w:kern w:val="2"/>
          <w:sz w:val="32"/>
          <w:szCs w:val="32"/>
          <w:highlight w:val="none"/>
          <w:u w:val="none"/>
          <w:lang w:val="en-US" w:eastAsia="zh-CN"/>
        </w:rPr>
      </w:pPr>
      <w:r>
        <w:rPr>
          <w:rFonts w:hint="eastAsia" w:ascii="宋体" w:hAnsi="宋体"/>
          <w:b/>
          <w:sz w:val="32"/>
          <w:szCs w:val="32"/>
          <w:highlight w:val="none"/>
        </w:rPr>
        <w:drawing>
          <wp:inline distT="0" distB="0" distL="114300" distR="114300">
            <wp:extent cx="5269230" cy="4250055"/>
            <wp:effectExtent l="0" t="0" r="7620" b="17145"/>
            <wp:docPr id="1" name="图片 1" descr="2cdd9f3b4c2f670cefe22ee4308c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cdd9f3b4c2f670cefe22ee4308c177"/>
                    <pic:cNvPicPr>
                      <a:picLocks noChangeAspect="1"/>
                    </pic:cNvPicPr>
                  </pic:nvPicPr>
                  <pic:blipFill>
                    <a:blip r:embed="rId14"/>
                    <a:stretch>
                      <a:fillRect/>
                    </a:stretch>
                  </pic:blipFill>
                  <pic:spPr>
                    <a:xfrm>
                      <a:off x="0" y="0"/>
                      <a:ext cx="5269230" cy="4250055"/>
                    </a:xfrm>
                    <a:prstGeom prst="rect">
                      <a:avLst/>
                    </a:prstGeom>
                  </pic:spPr>
                </pic:pic>
              </a:graphicData>
            </a:graphic>
          </wp:inline>
        </w:drawing>
      </w:r>
    </w:p>
    <w:p>
      <w:pPr>
        <w:rPr>
          <w:rFonts w:hint="eastAsia" w:ascii="宋体" w:hAnsi="宋体"/>
          <w:b/>
          <w:sz w:val="32"/>
          <w:szCs w:val="32"/>
          <w:u w:val="none"/>
        </w:rPr>
      </w:pPr>
      <w:r>
        <w:rPr>
          <w:rFonts w:hint="eastAsia" w:ascii="宋体" w:hAnsi="宋体"/>
          <w:b/>
          <w:sz w:val="32"/>
          <w:szCs w:val="32"/>
          <w:u w:val="none"/>
        </w:rPr>
        <w:br w:type="page"/>
      </w:r>
    </w:p>
    <w:p>
      <w:pPr>
        <w:widowControl/>
        <w:spacing w:line="600" w:lineRule="exact"/>
        <w:ind w:firstLine="640"/>
        <w:jc w:val="center"/>
        <w:rPr>
          <w:rFonts w:hint="eastAsia" w:ascii="宋体" w:hAnsi="宋体"/>
          <w:b/>
          <w:sz w:val="32"/>
          <w:szCs w:val="32"/>
        </w:rPr>
      </w:pPr>
      <w:r>
        <w:rPr>
          <w:rFonts w:hint="eastAsia" w:ascii="宋体" w:hAnsi="宋体"/>
          <w:b/>
          <w:sz w:val="32"/>
          <w:szCs w:val="32"/>
        </w:rPr>
        <w:t>第四部分  名词解释</w:t>
      </w:r>
    </w:p>
    <w:p>
      <w:pPr>
        <w:widowControl/>
        <w:spacing w:line="600" w:lineRule="exact"/>
        <w:ind w:firstLine="630"/>
        <w:jc w:val="left"/>
        <w:rPr>
          <w:rFonts w:hint="eastAsia" w:ascii="仿宋" w:hAnsi="仿宋" w:eastAsia="仿宋"/>
          <w:kern w:val="0"/>
          <w:sz w:val="30"/>
          <w:szCs w:val="30"/>
        </w:rPr>
      </w:pPr>
      <w:r>
        <w:rPr>
          <w:rFonts w:hint="eastAsia" w:ascii="仿宋" w:hAnsi="仿宋" w:eastAsia="仿宋"/>
          <w:kern w:val="0"/>
          <w:sz w:val="30"/>
          <w:szCs w:val="30"/>
        </w:rPr>
        <w:t>名词解释应以财务会计制度、政府收支分类科目以及部门预算管理等规定为基本说明，可在此基础上结合部门实际情况适当细化。“三公”经费支出和机关运行经费支出口径必需予以说明。</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一、收入科目</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（一）财政拨款：指省级财政当年拨付的资金。</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（二）事业收入：指事业单位开展专业业务活动及辅助活动取得的收入。</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（三）事业单位经营收入：指事业单位在专业业务活动及辅助活动之外开展非独立核算经营活动取得的收入。</w:t>
      </w:r>
    </w:p>
    <w:p>
      <w:pPr>
        <w:widowControl/>
        <w:spacing w:line="600" w:lineRule="exact"/>
        <w:ind w:firstLine="630" w:firstLineChars="0"/>
        <w:jc w:val="left"/>
        <w:rPr>
          <w:rFonts w:hint="eastAsia" w:ascii="仿宋" w:hAnsi="仿宋" w:eastAsia="仿宋"/>
          <w:sz w:val="30"/>
          <w:szCs w:val="30"/>
        </w:rPr>
      </w:pPr>
      <w:r>
        <w:rPr>
          <w:rFonts w:hint="eastAsia" w:ascii="仿宋" w:hAnsi="仿宋" w:eastAsia="仿宋"/>
          <w:sz w:val="30"/>
          <w:szCs w:val="30"/>
        </w:rPr>
        <w:t>（四）上年结转和结余：填列2017年全部结转和结余的资金数，包括当年结转结余资金和历年滚存结转结余资金。</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二、支出科目</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（一）行政运行：反映行政单位（包括参公单位）的基本支出。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（二）一般行政管理事务：反映行政单位（包括参公单位）未单独设置项级科目的其他项目支出。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（三）机关服务：反映为行政单位（包括参公单位）提供后勤服务的各类后勤服务中心的支出。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（四）预算改革业务：反映财政部门用于预算改革方面的支出。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（五）财政国库业务：反映财政部门用于财政国库集中支出收付业务方面的支出。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（六）财政监察：反映财政监察派出机构的专项业务支出。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（七）信息化建设：反映财政部门用于“金财工程”等信息化建设方面的支出。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（八）事业运行：反映事业单位的基本支出。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（九）其他财政事务支出：反映除上述项目以外的其他财政事务方面的支出。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（十）高等职业教育：反映经国家批准设立的高等职业大学、专科职业教育等方面的支出。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（十一）培训支出：反映各部门安排的用于培训的支出。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（十二）机关事业单位基本养老保险缴费支出：反映机关事业单位实施养老保险制度由单位缴纳的基本养老保险费的支出。</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（十三）行政单位医疗：反映行政事业单位基本医疗保险缴费经费。</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（十四）事业单位医疗：反映财政部门集中安排的事业单位基本医疗保险缴费经费。</w:t>
      </w:r>
    </w:p>
    <w:p>
      <w:pPr>
        <w:widowControl/>
        <w:spacing w:line="600" w:lineRule="exact"/>
        <w:ind w:firstLine="630"/>
        <w:jc w:val="left"/>
        <w:rPr>
          <w:rFonts w:hint="eastAsia" w:ascii="仿宋" w:hAnsi="仿宋" w:eastAsia="仿宋"/>
          <w:sz w:val="30"/>
          <w:szCs w:val="30"/>
        </w:rPr>
      </w:pPr>
      <w:r>
        <w:rPr>
          <w:rFonts w:hint="eastAsia" w:ascii="仿宋" w:hAnsi="仿宋" w:eastAsia="仿宋"/>
          <w:sz w:val="30"/>
          <w:szCs w:val="30"/>
        </w:rPr>
        <w:t>（十五）农业综合开发机构运行：反映农业综合开发部门的基本支出。</w:t>
      </w:r>
    </w:p>
    <w:p>
      <w:pPr>
        <w:widowControl/>
        <w:spacing w:line="600" w:lineRule="exact"/>
        <w:ind w:firstLine="630"/>
        <w:jc w:val="left"/>
      </w:pPr>
      <w:r>
        <w:rPr>
          <w:rFonts w:hint="eastAsia" w:ascii="仿宋" w:hAnsi="仿宋" w:eastAsia="仿宋"/>
          <w:sz w:val="30"/>
          <w:szCs w:val="30"/>
        </w:rPr>
        <w:t>（十六）购房补贴：反映按房改政策规定，行政事业单位向符合条件职工发放的用于购买住房的补贴。</w:t>
      </w:r>
    </w:p>
    <w:p>
      <w:pPr>
        <w:rPr>
          <w:rFonts w:hint="eastAsia" w:ascii="仿宋" w:hAnsi="仿宋" w:eastAsia="仿宋"/>
          <w:sz w:val="30"/>
          <w:szCs w:val="30"/>
        </w:rPr>
      </w:pPr>
    </w:p>
    <w:p>
      <w:pPr>
        <w:rPr>
          <w:rFonts w:hint="eastAsia" w:ascii="仿宋" w:hAnsi="仿宋" w:eastAsia="仿宋"/>
          <w:sz w:val="30"/>
          <w:szCs w:val="30"/>
        </w:rPr>
      </w:pPr>
    </w:p>
    <w:p>
      <w:pPr>
        <w:rPr>
          <w:rFonts w:ascii="仿宋" w:hAnsi="仿宋" w:eastAsia="仿宋"/>
          <w:sz w:val="30"/>
          <w:szCs w:val="30"/>
        </w:rPr>
      </w:pPr>
      <w:r>
        <w:rPr>
          <w:rFonts w:hint="eastAsia" w:ascii="仿宋" w:hAnsi="仿宋" w:eastAsia="仿宋"/>
          <w:sz w:val="30"/>
          <w:szCs w:val="30"/>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F1AB64"/>
    <w:multiLevelType w:val="singleLevel"/>
    <w:tmpl w:val="CEF1AB64"/>
    <w:lvl w:ilvl="0" w:tentative="0">
      <w:start w:val="8"/>
      <w:numFmt w:val="chineseCounting"/>
      <w:suff w:val="nothing"/>
      <w:lvlText w:val="%1、"/>
      <w:lvlJc w:val="left"/>
      <w:pPr>
        <w:ind w:left="1280" w:firstLine="0"/>
      </w:pPr>
      <w:rPr>
        <w:rFonts w:hint="eastAsia"/>
      </w:rPr>
    </w:lvl>
  </w:abstractNum>
  <w:abstractNum w:abstractNumId="1">
    <w:nsid w:val="DF27761A"/>
    <w:multiLevelType w:val="singleLevel"/>
    <w:tmpl w:val="DF27761A"/>
    <w:lvl w:ilvl="0" w:tentative="0">
      <w:start w:val="2"/>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iMGU4OWU4ZGVmNTk4YmViMzdlYjJkMTE4NDFmYWIifQ=="/>
  </w:docVars>
  <w:rsids>
    <w:rsidRoot w:val="30A50ECF"/>
    <w:rsid w:val="04955223"/>
    <w:rsid w:val="04B05C83"/>
    <w:rsid w:val="0A264CCC"/>
    <w:rsid w:val="14C75194"/>
    <w:rsid w:val="30A50ECF"/>
    <w:rsid w:val="3C346EDB"/>
    <w:rsid w:val="3C8A6F8A"/>
    <w:rsid w:val="3DB21232"/>
    <w:rsid w:val="4067237B"/>
    <w:rsid w:val="432723E0"/>
    <w:rsid w:val="44301CDD"/>
    <w:rsid w:val="487225A6"/>
    <w:rsid w:val="4EE36F35"/>
    <w:rsid w:val="52376FA9"/>
    <w:rsid w:val="71C9310C"/>
    <w:rsid w:val="74542DE5"/>
    <w:rsid w:val="78ED2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3794</Words>
  <Characters>4154</Characters>
  <Lines>0</Lines>
  <Paragraphs>0</Paragraphs>
  <TotalTime>42</TotalTime>
  <ScaleCrop>false</ScaleCrop>
  <LinksUpToDate>false</LinksUpToDate>
  <CharactersWithSpaces>4240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2022-08-19T08:30:00Z</dcterms:created>
  <dc:creator>Why</dc:creator>
  <cp:lastModifiedBy>葡萄啵啵多冰</cp:lastModifiedBy>
  <dcterms:modified xsi:type="dcterms:W3CDTF">2023-06-16T04:06:10Z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3DC8B348FCB04F54922D1B44EBAE35EC_13</vt:lpwstr>
  </property>
</Properties>
</file>